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ascii="Arial" w:hAnsi="Arial" w:cs="Arial"/>
          <w:b/>
          <w:sz w:val="24"/>
          <w:szCs w:val="24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# </w:t>
      </w:r>
      <w:r>
        <w:rPr>
          <w:rFonts w:hint="eastAsia" w:ascii="Arial" w:hAnsi="Arial" w:cs="Arial"/>
          <w:b/>
          <w:sz w:val="24"/>
          <w:szCs w:val="24"/>
        </w:rPr>
        <w:t>106bis-e                               R4-2304690</w:t>
      </w:r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Online, April 17 – April 26, 2023</w:t>
      </w:r>
    </w:p>
    <w:p>
      <w:pPr>
        <w:pStyle w:val="14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 w:line="240" w:lineRule="auto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bookmarkStart w:id="3" w:name="OLE_LINK44"/>
      <w:r>
        <w:rPr>
          <w:rFonts w:hint="eastAsia" w:ascii="Arial" w:hAnsi="Arial"/>
          <w:b/>
          <w:sz w:val="24"/>
          <w:lang w:val="en-US" w:eastAsia="zh-CN"/>
        </w:rPr>
        <w:t>D</w:t>
      </w:r>
      <w:r>
        <w:rPr>
          <w:rStyle w:val="59"/>
          <w:rFonts w:hint="eastAsia"/>
          <w:b/>
          <w:lang w:val="pt-BR"/>
        </w:rPr>
        <w:t>iscussion on</w:t>
      </w:r>
      <w:bookmarkStart w:id="4" w:name="OLE_LINK7"/>
      <w:r>
        <w:rPr>
          <w:rStyle w:val="59"/>
          <w:rFonts w:hint="eastAsia"/>
          <w:b/>
        </w:rPr>
        <w:t> </w:t>
      </w:r>
      <w:bookmarkEnd w:id="3"/>
      <w:bookmarkEnd w:id="4"/>
      <w:r>
        <w:rPr>
          <w:rStyle w:val="59"/>
          <w:rFonts w:hint="eastAsia"/>
          <w:b/>
          <w:lang w:val="en-US" w:eastAsia="zh-CN"/>
        </w:rPr>
        <w:t>demodulation for 4Tx of NR_ENDC_RF_FR1_enh2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5.5.4.2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lang w:val="en-US" w:eastAsia="zh-CN"/>
        </w:rPr>
        <w:t>Discussion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5" w:name="OLE_LINK2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/>
          <w:bCs/>
          <w:kern w:val="0"/>
          <w:sz w:val="21"/>
          <w:szCs w:val="21"/>
          <w:highlight w:val="none"/>
          <w:lang w:val="en-US" w:eastAsia="zh-CN"/>
        </w:rPr>
      </w:pPr>
      <w:bookmarkStart w:id="6" w:name="OLE_LINK33"/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The objectives for 4Tx of further RF requirements enhancement for NR and EN-DC in frequency range 1 (FR1) </w:t>
      </w:r>
      <w:r>
        <w:rPr>
          <w:rFonts w:hint="eastAsia"/>
          <w:lang w:val="en-US" w:eastAsia="zh-CN"/>
        </w:rPr>
        <w:t xml:space="preserve">are listed in the following 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[1]</w:t>
      </w:r>
      <w:r>
        <w:rPr>
          <w:rFonts w:hint="eastAsia"/>
          <w:lang w:val="en-US" w:eastAsia="zh-CN"/>
        </w:rPr>
        <w:t>: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b/>
          <w:lang w:val="en-US" w:eastAsia="zh-CN"/>
        </w:rPr>
      </w:pPr>
      <w:bookmarkStart w:id="7" w:name="OLE_LINK19"/>
      <w:r>
        <w:rPr>
          <w:rFonts w:hint="eastAsia"/>
          <w:b/>
          <w:lang w:val="en-US" w:eastAsia="zh-CN"/>
        </w:rPr>
        <w:t xml:space="preserve">Enable 4Tx on a single carrier for CPE/FWA/vehicle/industrial devices </w:t>
      </w:r>
      <w:r>
        <w:rPr>
          <w:b/>
          <w:lang w:val="en-US" w:eastAsia="zh-CN"/>
        </w:rPr>
        <w:t>[</w:t>
      </w:r>
      <w:r>
        <w:rPr>
          <w:rFonts w:hint="eastAsia"/>
          <w:b/>
          <w:lang w:val="en-US" w:eastAsia="zh-CN"/>
        </w:rPr>
        <w:t>RAN4</w:t>
      </w:r>
      <w:r>
        <w:rPr>
          <w:b/>
          <w:lang w:val="en-US" w:eastAsia="zh-CN"/>
        </w:rPr>
        <w:t>]</w:t>
      </w:r>
    </w:p>
    <w:p>
      <w:pPr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lang w:val="en-US" w:eastAsia="zh-CN"/>
        </w:rPr>
        <w:t>Investigate framework and architecture Example bands:</w:t>
      </w:r>
    </w:p>
    <w:p>
      <w:pPr>
        <w:pageBreakBefore w:val="0"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TDD bands: n41, </w:t>
      </w:r>
      <w:r>
        <w:rPr>
          <w:lang w:val="en-US" w:eastAsia="zh-CN"/>
        </w:rPr>
        <w:t>n77/n78</w:t>
      </w:r>
    </w:p>
    <w:p>
      <w:pPr>
        <w:pageBreakBefore w:val="0"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FDD bands: n1</w:t>
      </w:r>
    </w:p>
    <w:p>
      <w:pPr>
        <w:pageBreakBefore w:val="0"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lang w:val="en-US" w:eastAsia="zh-CN"/>
        </w:rPr>
        <w:t>Note 1: the total number of example bands should be limited to 3. n77/n78 are considered as one band during the study.</w:t>
      </w:r>
    </w:p>
    <w:p>
      <w:pPr>
        <w:pageBreakBefore w:val="0"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lang w:val="en-US" w:eastAsia="zh-CN"/>
        </w:rPr>
        <w:t>Note 2: other bands to be introduced in the release independent way later on from Rel-18</w:t>
      </w:r>
    </w:p>
    <w:p>
      <w:pPr>
        <w:pageBreakBefore w:val="0"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Note 3: specifying requirements for TDD bands has first priority</w:t>
      </w:r>
    </w:p>
    <w:p>
      <w:pPr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lang w:val="en-US" w:eastAsia="zh-CN"/>
        </w:rPr>
        <w:t xml:space="preserve">  Specify the UE RF requirements to support 4Tx</w:t>
      </w:r>
    </w:p>
    <w:p>
      <w:pPr>
        <w:pageBreakBefore w:val="0"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First priority: 4x4 UL MIMO</w:t>
      </w:r>
    </w:p>
    <w:p>
      <w:pPr>
        <w:pageBreakBefore w:val="0"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Second priority: investigate and if necessary specify TxD requirement to support the same power class in UL MIMO and single antenna port </w:t>
      </w:r>
    </w:p>
    <w:p>
      <w:pPr>
        <w:pageBreakBefore w:val="0"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PA configuration assumption:</w:t>
      </w:r>
    </w:p>
    <w:p>
      <w:pPr>
        <w:pageBreakBefore w:val="0"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lang w:val="en-US" w:eastAsia="zh-CN"/>
        </w:rPr>
        <w:t>First priority: 4x23dBm</w:t>
      </w:r>
    </w:p>
    <w:p>
      <w:pPr>
        <w:pageBreakBefore w:val="0"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Second priority: 2x23dBm + 2x26dBm, 4x26dBm</w:t>
      </w:r>
    </w:p>
    <w:p>
      <w:pPr>
        <w:pageBreakBefore w:val="0"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UE power class</w:t>
      </w:r>
    </w:p>
    <w:p>
      <w:pPr>
        <w:pageBreakBefore w:val="0"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lang w:val="en-US" w:eastAsia="zh-CN"/>
        </w:rPr>
        <w:t>First priority: PC 1.5</w:t>
      </w:r>
    </w:p>
    <w:p>
      <w:pPr>
        <w:pageBreakBefore w:val="0"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lang w:val="en-US" w:eastAsia="zh-CN"/>
        </w:rPr>
        <w:t>Second priority: PC2/PC3, and/or new power class if needed</w:t>
      </w:r>
    </w:p>
    <w:p>
      <w:pPr>
        <w:pageBreakBefore w:val="0"/>
        <w:numPr>
          <w:ilvl w:val="2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lang w:val="en-US" w:eastAsia="zh-CN"/>
        </w:rPr>
        <w:t>Note 1: PC1.5 is only applicable for TDD bands</w:t>
      </w:r>
    </w:p>
    <w:p>
      <w:pPr>
        <w:pageBreakBefore w:val="0"/>
        <w:numPr>
          <w:ilvl w:val="1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lang w:val="en-US" w:eastAsia="zh-CN"/>
        </w:rPr>
      </w:pPr>
      <w:r>
        <w:rPr>
          <w:lang w:val="en-US" w:eastAsia="zh-CN"/>
        </w:rPr>
        <w:t>Note: detailed combinations for 2nd priority PA/UE power class assumptions are to be revisited in RAN#97</w:t>
      </w:r>
    </w:p>
    <w:p>
      <w:pPr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lang w:val="en-US" w:eastAsia="zh-CN"/>
        </w:rPr>
        <w:t>NOTE1: Requirements are specified with phase approach. Objectives with 1st priority are considered first.</w:t>
      </w:r>
    </w:p>
    <w:p>
      <w:pPr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hanging="357"/>
        <w:textAlignment w:val="auto"/>
        <w:rPr>
          <w:lang w:val="en-US" w:eastAsia="zh-CN"/>
        </w:rPr>
      </w:pPr>
      <w:r>
        <w:rPr>
          <w:lang w:val="en-US" w:eastAsia="zh-CN"/>
        </w:rPr>
        <w:t>NOTE2: It is assumed the devices are equipped with 4Rx antennas for band n1 requirement definition.</w:t>
      </w:r>
      <w:bookmarkEnd w:id="7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In RAN4# 106 meeting, some agreements were reached for 4Tx evaluation and the following evaluation setups need further discussion.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textAlignment w:val="auto"/>
        <w:outlineLvl w:val="9"/>
        <w:rPr>
          <w:lang w:eastAsia="zh-CN"/>
        </w:rPr>
      </w:pPr>
      <w:r>
        <w:rPr>
          <w:lang w:eastAsia="zh-CN"/>
        </w:rPr>
        <w:t>Sub-topic 2-5 MCS</w:t>
      </w:r>
    </w:p>
    <w:p>
      <w:pPr>
        <w:rPr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b/>
          <w:bCs/>
          <w:lang w:eastAsia="zh-CN"/>
        </w:rPr>
        <w:t>Agreement:</w:t>
      </w:r>
      <w:r>
        <w:rPr>
          <w:lang w:eastAsia="zh-CN"/>
        </w:rPr>
        <w:t xml:space="preserve"> </w:t>
      </w:r>
      <w:r>
        <w:rPr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Use MCS table 1 for the evaluation. The following MCS can be used as starting point for evaluation.</w:t>
      </w:r>
    </w:p>
    <w:p>
      <w:pPr>
        <w:pStyle w:val="32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lang w:eastAsia="ja-JP"/>
        </w:rPr>
        <w:t>TDLA30-10: MCS16, MCS17 and MCS20</w:t>
      </w:r>
    </w:p>
    <w:p>
      <w:pPr>
        <w:pStyle w:val="32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lang w:eastAsia="ja-JP"/>
        </w:rPr>
        <w:t>TDLB100-400: MCS2</w:t>
      </w:r>
    </w:p>
    <w:p>
      <w:pPr>
        <w:pStyle w:val="32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lang w:eastAsia="ja-JP"/>
        </w:rPr>
        <w:t>TDLC300-100: MCS12 and MCS16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textAlignment w:val="auto"/>
        <w:outlineLvl w:val="9"/>
        <w:rPr>
          <w:lang w:eastAsia="zh-CN"/>
        </w:rPr>
      </w:pPr>
      <w:r>
        <w:rPr>
          <w:lang w:eastAsia="zh-CN"/>
        </w:rPr>
        <w:t>Sub-topic 2-8 Precoding</w:t>
      </w:r>
    </w:p>
    <w:p>
      <w:pPr>
        <w:rPr>
          <w:b/>
          <w:bCs/>
          <w:lang w:eastAsia="zh-CN"/>
        </w:rPr>
      </w:pPr>
      <w:r>
        <w:rPr>
          <w:b/>
          <w:bCs/>
          <w:lang w:eastAsia="zh-CN"/>
        </w:rPr>
        <w:t>Agreement:</w:t>
      </w:r>
    </w:p>
    <w:p>
      <w:pPr>
        <w:rPr>
          <w:lang w:eastAsia="zh-CN"/>
        </w:rPr>
      </w:pPr>
      <w:r>
        <w:rPr>
          <w:lang w:eastAsia="zh-CN"/>
        </w:rPr>
        <w:t xml:space="preserve">Take TPMI index 0 in Table 6.3.1.5-7 of 38.211 for performance requirement definition. </w:t>
      </w:r>
    </w:p>
    <w:p>
      <w:pPr>
        <w:rPr>
          <w:rFonts w:eastAsia="Batang"/>
        </w:rPr>
      </w:pPr>
      <w:r>
        <w:rPr>
          <w:rFonts w:eastAsia="Batang"/>
          <w:position w:val="-56"/>
        </w:rPr>
        <w:object>
          <v:shape id="_x0000_i1025" o:spt="75" type="#_x0000_t75" style="height:61pt;width:67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0">
            <o:LockedField>false</o:LockedField>
          </o:OLEObject>
        </w:object>
      </w:r>
    </w:p>
    <w:p>
      <w:pPr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Batang"/>
        </w:rPr>
        <w:t xml:space="preserve">FFS on </w:t>
      </w:r>
      <w:r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 xml:space="preserve">TPMI index 4 </w:t>
      </w:r>
      <w:r>
        <w:rPr>
          <w:lang w:eastAsia="zh-CN"/>
        </w:rPr>
        <w:t xml:space="preserve">in Table 6.3.1.5-7 of 38.211 </w:t>
      </w:r>
      <w:r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 xml:space="preserve">for vehicular use cases. </w:t>
      </w:r>
    </w:p>
    <w:p>
      <w:pPr>
        <w:rPr>
          <w:lang w:eastAsia="zh-CN"/>
        </w:rPr>
      </w:pPr>
      <w:r>
        <w:rPr>
          <w:rFonts w:eastAsia="Batang"/>
          <w:position w:val="-56"/>
        </w:rPr>
        <w:object>
          <v:shape id="_x0000_i1026" o:spt="75" type="#_x0000_t75" style="height:60pt;width:90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2">
            <o:LockedField>false</o:LockedField>
          </o:OLEObject>
        </w:objec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kern w:val="0"/>
          <w:sz w:val="20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In this contribution, </w:t>
      </w:r>
      <w:bookmarkStart w:id="8" w:name="OLE_LINK18"/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we share our understanding for the above issues and we give initial simulation results for 4Tx.</w:t>
      </w:r>
      <w:bookmarkEnd w:id="8"/>
      <w:r>
        <w:rPr>
          <w:rFonts w:hint="eastAsia"/>
          <w:kern w:val="0"/>
          <w:sz w:val="20"/>
        </w:rPr>
        <w:t xml:space="preserve"> </w:t>
      </w:r>
      <w:bookmarkEnd w:id="6"/>
    </w:p>
    <w:bookmarkEnd w:id="5"/>
    <w:p>
      <w:pPr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2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Discussion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outlineLvl w:val="1"/>
        <w:rPr>
          <w:rFonts w:hint="default" w:eastAsia="宋体"/>
          <w:b/>
          <w:bCs/>
          <w:u w:val="single"/>
          <w:lang w:val="en-US" w:eastAsia="zh-CN" w:bidi="hi-IN"/>
        </w:rPr>
      </w:pPr>
      <w:bookmarkStart w:id="9" w:name="OLE_LINK41"/>
      <w:bookmarkStart w:id="10" w:name="OLE_LINK6"/>
      <w:bookmarkStart w:id="11" w:name="OLE_LINK23"/>
      <w:bookmarkStart w:id="12" w:name="OLE_LINK66"/>
      <w:r>
        <w:rPr>
          <w:rFonts w:hint="eastAsia" w:eastAsia="宋体"/>
          <w:b/>
          <w:bCs/>
          <w:u w:val="single"/>
          <w:lang w:val="en-US" w:eastAsia="zh-CN" w:bidi="hi-IN"/>
        </w:rPr>
        <w:t xml:space="preserve">2.1 </w:t>
      </w:r>
      <w:r>
        <w:rPr>
          <w:rFonts w:hint="eastAsia"/>
          <w:b/>
          <w:bCs/>
          <w:u w:val="single"/>
          <w:lang w:val="en-US" w:eastAsia="zh-CN" w:bidi="hi-IN"/>
        </w:rPr>
        <w:t>MCS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lang w:val="en-US" w:eastAsia="zh-CN"/>
        </w:rPr>
        <w:t xml:space="preserve">It was agreed that MCS index </w:t>
      </w:r>
      <w:r>
        <w:rPr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table 1</w:t>
      </w:r>
      <w:r>
        <w:rPr>
          <w:rFonts w:hint="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(Table 5.1.3.1-1 in TS 38.214) is used to select MCS</w:t>
      </w:r>
      <w:r>
        <w:rPr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 xml:space="preserve"> for evaluation</w:t>
      </w:r>
      <w:r>
        <w:rPr>
          <w:rFonts w:hint="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and the concerned MCS is list in Table 1.</w:t>
      </w:r>
    </w:p>
    <w:p>
      <w:pPr>
        <w:pStyle w:val="55"/>
        <w:rPr>
          <w:rFonts w:hint="default" w:ascii="Times New Roman" w:hAnsi="Times New Roman" w:cs="Times New Roman"/>
          <w:b w:val="0"/>
          <w:bCs/>
        </w:rPr>
      </w:pPr>
      <w:r>
        <w:rPr>
          <w:rFonts w:hint="default" w:ascii="Times New Roman" w:hAnsi="Times New Roman" w:cs="Times New Roman"/>
          <w:b w:val="0"/>
          <w:bCs/>
        </w:rPr>
        <w:t xml:space="preserve">Table 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>1</w:t>
      </w:r>
      <w:r>
        <w:rPr>
          <w:rFonts w:hint="default" w:ascii="Times New Roman" w:hAnsi="Times New Roman" w:cs="Times New Roman"/>
          <w:b w:val="0"/>
          <w:bCs/>
        </w:rPr>
        <w:t xml:space="preserve">: </w:t>
      </w:r>
      <w:r>
        <w:rPr>
          <w:rFonts w:hint="eastAsia" w:ascii="Times New Roman" w:hAnsi="Times New Roman" w:cs="Times New Roman"/>
          <w:b w:val="0"/>
          <w:bCs/>
          <w:lang w:val="en-US" w:eastAsia="zh-CN"/>
        </w:rPr>
        <w:t xml:space="preserve">Concerned </w:t>
      </w:r>
      <w:r>
        <w:rPr>
          <w:rFonts w:hint="default" w:ascii="Times New Roman" w:hAnsi="Times New Roman" w:cs="Times New Roman"/>
          <w:b w:val="0"/>
          <w:bCs/>
        </w:rPr>
        <w:t>MCS index</w:t>
      </w:r>
      <w:r>
        <w:rPr>
          <w:rFonts w:hint="default" w:ascii="Times New Roman" w:hAnsi="Times New Roman" w:cs="Times New Roman"/>
          <w:b w:val="0"/>
          <w:bCs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/>
        </w:rPr>
        <w:t>for PDSCH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521"/>
        <w:gridCol w:w="2261"/>
        <w:gridCol w:w="20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shd w:val="clear" w:color="auto" w:fill="E0E0E0"/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lang w:val="en-US"/>
              </w:rPr>
              <w:t>MCS Index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/>
                <w:i/>
                <w:lang w:val="en-GB"/>
              </w:rPr>
              <w:t>I</w:t>
            </w:r>
            <w:r>
              <w:rPr>
                <w:rFonts w:hint="default" w:ascii="Times New Roman" w:hAnsi="Times New Roman" w:cs="Times New Roman"/>
                <w:b w:val="0"/>
                <w:bCs/>
                <w:i/>
                <w:vertAlign w:val="subscript"/>
                <w:lang w:val="en-GB"/>
              </w:rPr>
              <w:t>MCS</w:t>
            </w:r>
          </w:p>
        </w:tc>
        <w:tc>
          <w:tcPr>
            <w:tcW w:w="0" w:type="auto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lang w:val="en-US"/>
              </w:rPr>
              <w:t>Modulation Order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/>
                <w:i/>
                <w:lang w:val="en-GB"/>
              </w:rPr>
              <w:t xml:space="preserve"> Q</w:t>
            </w:r>
            <w:r>
              <w:rPr>
                <w:rFonts w:hint="default" w:ascii="Times New Roman" w:hAnsi="Times New Roman" w:cs="Times New Roman"/>
                <w:b w:val="0"/>
                <w:bCs/>
                <w:i/>
                <w:vertAlign w:val="subscript"/>
                <w:lang w:val="en-GB"/>
              </w:rPr>
              <w:t>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lang w:val="en-US"/>
              </w:rPr>
              <w:t xml:space="preserve">Target code Rate </w:t>
            </w:r>
            <w:r>
              <w:rPr>
                <w:rFonts w:hint="default" w:ascii="Times New Roman" w:hAnsi="Times New Roman" w:cs="Times New Roman"/>
                <w:b w:val="0"/>
                <w:bCs/>
                <w:i/>
                <w:lang w:val="en-US"/>
              </w:rPr>
              <w:t>R</w:t>
            </w:r>
            <w:r>
              <w:rPr>
                <w:rFonts w:hint="default" w:ascii="Times New Roman" w:hAnsi="Times New Roman" w:cs="Times New Roman"/>
                <w:b w:val="0"/>
                <w:bCs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lang w:val="en-GB"/>
              </w:rPr>
              <w:t>x [1024]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lang w:val="en-GB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lang w:val="en-GB"/>
              </w:rPr>
              <w:t>Spectral</w:t>
            </w:r>
          </w:p>
          <w:p>
            <w:pPr>
              <w:pStyle w:val="6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lang w:val="en-GB"/>
              </w:rPr>
              <w:t>efficiency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lang w:val="pt-BR"/>
              </w:rPr>
              <w:t>193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  <w:t>0.3770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lang w:val="pt-BR"/>
              </w:rPr>
              <w:t>434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  <w:t>1.6953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  <w:t>16</w:t>
            </w:r>
          </w:p>
        </w:tc>
        <w:tc>
          <w:tcPr>
            <w:tcW w:w="0" w:type="auto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lang w:val="pt-BR"/>
              </w:rPr>
              <w:t>658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  <w:t>2.5703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  <w:t>17</w:t>
            </w:r>
          </w:p>
        </w:tc>
        <w:tc>
          <w:tcPr>
            <w:tcW w:w="0" w:type="auto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lang w:val="pt-BR"/>
              </w:rPr>
              <w:t>438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  <w:t>2.5664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lang w:val="pt-BR"/>
              </w:rPr>
              <w:t>567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lang w:val="en-GB"/>
              </w:rPr>
              <w:t>3.3223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It was also agreed that only one MCS for each propagation condition will be selected for performance requirements definition. As MCS2 is selected for </w:t>
      </w:r>
      <w:r>
        <w:rPr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TDLB100-400</w:t>
      </w:r>
      <w:r>
        <w:rPr>
          <w:rFonts w:hint="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, the remaining MCSs are MCS12 MCS16 for 16QAM and MCS17 and MCS20 for 64QAM.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Figure 2-1 shows the throughput comparison between MCS16, MCS17 and MCS20 for TDL-A30-10,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</w:pPr>
      <w:r>
        <w:drawing>
          <wp:inline distT="0" distB="0" distL="114300" distR="114300">
            <wp:extent cx="3514725" cy="2889250"/>
            <wp:effectExtent l="0" t="0" r="5715" b="635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rcRect l="4851" t="2498" r="6726" b="732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288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Figure 2-1 Throughput comparison between different MCS for TDL-A 30-10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From figure 2-1 we can see that MCS20 is feasible when TDL-A 30-10 is considered. Therefore it reasonable to select MCS20 for </w:t>
      </w:r>
      <w:r>
        <w:rPr>
          <w:rFonts w:hint="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TDL-A30-10. If </w:t>
      </w:r>
      <w:r>
        <w:rPr>
          <w:rFonts w:hint="eastAsia"/>
          <w:lang w:val="en-US" w:eastAsia="zh-CN"/>
        </w:rPr>
        <w:t xml:space="preserve">MCS20 is selected for </w:t>
      </w:r>
      <w:r>
        <w:rPr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TDLA30-10</w:t>
      </w:r>
      <w:r>
        <w:rPr>
          <w:rFonts w:hint="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, a MCS corresponding to 16QAM should be considered. Figure 2-2 shows the throughput comparison between MCS12 and MCS16 for TDL-C 300-100.</w:t>
      </w:r>
    </w:p>
    <w:bookmarkEnd w:id="9"/>
    <w:bookmarkEnd w:id="10"/>
    <w:p>
      <w:pPr>
        <w:pStyle w:val="62"/>
        <w:keepLines w:val="0"/>
        <w:widowControl w:val="0"/>
        <w:spacing w:before="120" w:after="120"/>
        <w:ind w:left="0" w:firstLine="0"/>
        <w:jc w:val="center"/>
      </w:pPr>
      <w:bookmarkStart w:id="13" w:name="OLE_LINK28"/>
      <w:bookmarkStart w:id="14" w:name="OLE_LINK11"/>
      <w:r>
        <w:drawing>
          <wp:inline distT="0" distB="0" distL="114300" distR="114300">
            <wp:extent cx="3396615" cy="2736850"/>
            <wp:effectExtent l="0" t="0" r="0" b="635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rcRect l="5842" t="2641" r="4086" b="732"/>
                    <a:stretch>
                      <a:fillRect/>
                    </a:stretch>
                  </pic:blipFill>
                  <pic:spPr>
                    <a:xfrm>
                      <a:off x="0" y="0"/>
                      <a:ext cx="3396615" cy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2"/>
        <w:keepLines w:val="0"/>
        <w:widowControl w:val="0"/>
        <w:spacing w:before="120" w:after="120"/>
        <w:ind w:left="0" w:firstLine="0"/>
        <w:jc w:val="center"/>
        <w:rPr>
          <w:rFonts w:hint="eastAsia"/>
          <w:lang w:val="en-US" w:eastAsia="zh-CN"/>
        </w:rPr>
      </w:pPr>
      <w:r>
        <w:rPr>
          <w:rFonts w:hint="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Figure 2-2Throughput comparison between MCS12 and MCS16 for TDL-C 300-100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From figure 2-2 we can see that MCS16 is feasible when </w:t>
      </w:r>
      <w:r>
        <w:rPr>
          <w:rFonts w:hint="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TDL-C 300-100</w:t>
      </w:r>
      <w:r>
        <w:rPr>
          <w:rFonts w:hint="eastAsia"/>
          <w:lang w:val="en-US" w:eastAsia="zh-CN"/>
        </w:rPr>
        <w:t xml:space="preserve"> is considered. Therefore it reasonable to select MCS16 for </w:t>
      </w:r>
      <w:r>
        <w:rPr>
          <w:rFonts w:hint="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TDL-C 300-100. Some initial simulation results are appended in Annex for reference.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 xml:space="preserve">Proposal 1: To </w:t>
      </w:r>
      <w:r>
        <w:rPr>
          <w:rFonts w:hint="eastAsia"/>
          <w:b/>
          <w:sz w:val="20"/>
          <w:szCs w:val="20"/>
          <w:lang w:val="en-US" w:eastAsia="zh-CN"/>
        </w:rPr>
        <w:t>use the following MCS and channel model for demodulation requirement:</w:t>
      </w:r>
    </w:p>
    <w:p>
      <w:pPr>
        <w:pStyle w:val="32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ja-JP" w:bidi="ar-SA"/>
        </w:rPr>
        <w:t>TDLA30-10: MCS20</w:t>
      </w:r>
    </w:p>
    <w:p>
      <w:pPr>
        <w:pStyle w:val="32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ja-JP" w:bidi="ar-SA"/>
        </w:rPr>
        <w:t>TDLB100-400: MCS2</w:t>
      </w:r>
    </w:p>
    <w:p>
      <w:pPr>
        <w:pStyle w:val="32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ja-JP" w:bidi="ar-SA"/>
        </w:rPr>
        <w:t>TDLC300-100: MCS16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outlineLvl w:val="1"/>
        <w:rPr>
          <w:rFonts w:hint="default" w:eastAsia="宋体"/>
          <w:b/>
          <w:bCs/>
          <w:u w:val="single"/>
          <w:lang w:val="en-US" w:eastAsia="zh-CN" w:bidi="hi-IN"/>
        </w:rPr>
      </w:pPr>
      <w:r>
        <w:rPr>
          <w:rFonts w:hint="eastAsia" w:eastAsia="宋体"/>
          <w:b/>
          <w:bCs/>
          <w:u w:val="single"/>
          <w:lang w:val="en-US" w:eastAsia="zh-CN" w:bidi="hi-IN"/>
        </w:rPr>
        <w:t>2.</w:t>
      </w:r>
      <w:r>
        <w:rPr>
          <w:rFonts w:hint="eastAsia"/>
          <w:b/>
          <w:bCs/>
          <w:u w:val="single"/>
          <w:lang w:val="en-US" w:eastAsia="zh-CN" w:bidi="hi-IN"/>
        </w:rPr>
        <w:t>2</w:t>
      </w:r>
      <w:r>
        <w:rPr>
          <w:rFonts w:hint="eastAsia" w:eastAsia="宋体"/>
          <w:b/>
          <w:bCs/>
          <w:u w:val="single"/>
          <w:lang w:val="en-US" w:eastAsia="zh-CN" w:bidi="hi-IN"/>
        </w:rPr>
        <w:t xml:space="preserve"> </w:t>
      </w:r>
      <w:r>
        <w:rPr>
          <w:rFonts w:hint="eastAsia"/>
          <w:b/>
          <w:bCs/>
          <w:u w:val="single"/>
          <w:lang w:val="en-US" w:eastAsia="zh-CN" w:bidi="hi-IN"/>
        </w:rPr>
        <w:t>TPMI</w:t>
      </w:r>
    </w:p>
    <w:p>
      <w:pPr>
        <w:rPr>
          <w:lang w:eastAsia="zh-CN"/>
        </w:rPr>
      </w:pPr>
      <w:r>
        <w:rPr>
          <w:rFonts w:hint="eastAsia"/>
          <w:lang w:val="en-US" w:eastAsia="zh-CN"/>
        </w:rPr>
        <w:t>It was agreed to t</w:t>
      </w:r>
      <w:r>
        <w:rPr>
          <w:lang w:eastAsia="zh-CN"/>
        </w:rPr>
        <w:t xml:space="preserve">ake TPMI index 0 in Table 6.3.1.5-7 of 38.211 for performance requirement definition. </w:t>
      </w:r>
    </w:p>
    <w:p>
      <w:pPr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lang w:val="en-US" w:eastAsia="zh-CN"/>
        </w:rPr>
        <w:t xml:space="preserve">Another TPMI of index 4 </w:t>
      </w:r>
      <w:r>
        <w:rPr>
          <w:lang w:eastAsia="zh-CN"/>
        </w:rPr>
        <w:t>in Table 6.3.1.5-7 of 38.211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is </w:t>
      </w:r>
      <w:r>
        <w:rPr>
          <w:rFonts w:eastAsia="Batang"/>
        </w:rPr>
        <w:t>FFS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 xml:space="preserve">for vehicular use cases. </w:t>
      </w:r>
    </w:p>
    <w:p>
      <w:pPr>
        <w:rPr>
          <w:lang w:eastAsia="zh-CN"/>
        </w:rPr>
      </w:pPr>
      <w:r>
        <w:rPr>
          <w:rFonts w:eastAsia="Batang"/>
          <w:position w:val="-56"/>
        </w:rPr>
        <w:object>
          <v:shape id="_x0000_i1027" o:spt="75" type="#_x0000_t75" style="height:60pt;width:90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6">
            <o:LockedField>false</o:LockedField>
          </o:OLEObject>
        </w:objec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difference between TPMI index 0 and TPMI index 4 is that the precoder of TPMI index 4 carries each layer on different antennas which may bring diversity comparing with the precoder of TPMI index 0.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With regard to demodulation requirement, a fixed precoder is used by companies and this precoder is not matched with CSI as no CSI feedback is concerned for requirements definition. In other words, there is not a TPMI index which is more suitable for channel conditions than other PMI indices.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On the other hand, TPMI index 4 is full coherent precoder, which is related to UE capability. Therefore, TPMI index 4 may not be feasible for UE without the capability of full coherent precoder.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sz w:val="20"/>
          <w:szCs w:val="20"/>
          <w:lang w:val="en-US" w:eastAsia="zh-CN"/>
        </w:rPr>
        <w:t>2</w:t>
      </w:r>
      <w:r>
        <w:rPr>
          <w:rFonts w:hint="eastAsia" w:eastAsia="宋体"/>
          <w:b/>
          <w:sz w:val="20"/>
          <w:szCs w:val="20"/>
          <w:lang w:val="en-US" w:eastAsia="zh-CN"/>
        </w:rPr>
        <w:t>: To</w:t>
      </w:r>
      <w:r>
        <w:rPr>
          <w:rFonts w:hint="eastAsia"/>
          <w:b/>
          <w:sz w:val="20"/>
          <w:szCs w:val="20"/>
          <w:lang w:val="en-US" w:eastAsia="zh-CN"/>
        </w:rPr>
        <w:t xml:space="preserve"> only</w:t>
      </w:r>
      <w:r>
        <w:rPr>
          <w:rFonts w:hint="eastAsia" w:eastAsia="宋体"/>
          <w:b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sz w:val="20"/>
          <w:szCs w:val="20"/>
          <w:lang w:val="en-US" w:eastAsia="zh-CN"/>
        </w:rPr>
        <w:t>use the TPMI index 0 for demodulation requirement.</w:t>
      </w:r>
    </w:p>
    <w:bookmarkEnd w:id="11"/>
    <w:bookmarkEnd w:id="12"/>
    <w:bookmarkEnd w:id="13"/>
    <w:bookmarkEnd w:id="14"/>
    <w:p>
      <w:pPr>
        <w:keepNext/>
        <w:keepLines/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bCs/>
          <w:kern w:val="0"/>
          <w:szCs w:val="21"/>
        </w:rPr>
      </w:pPr>
      <w:r>
        <w:rPr>
          <w:rFonts w:hint="eastAsia"/>
          <w:sz w:val="20"/>
        </w:rPr>
        <w:t xml:space="preserve">In this contribution, we give some </w:t>
      </w:r>
      <w:r>
        <w:rPr>
          <w:rFonts w:hint="eastAsia"/>
          <w:sz w:val="20"/>
          <w:lang w:val="en-US" w:eastAsia="zh-CN"/>
        </w:rPr>
        <w:t>conclusion</w:t>
      </w:r>
      <w:r>
        <w:rPr>
          <w:rFonts w:hint="eastAsia"/>
          <w:sz w:val="20"/>
        </w:rPr>
        <w:t xml:space="preserve"> for</w:t>
      </w:r>
      <w:r>
        <w:rPr>
          <w:rFonts w:hint="eastAsia"/>
          <w:sz w:val="20"/>
          <w:lang w:val="en-US" w:eastAsia="zh-CN"/>
        </w:rPr>
        <w:t xml:space="preserve"> </w:t>
      </w:r>
      <w:r>
        <w:rPr>
          <w:rFonts w:hint="eastAsia"/>
          <w:sz w:val="20"/>
        </w:rPr>
        <w:t>4Tx of NR_ENDC_RF_FR1_enh2</w:t>
      </w:r>
      <w:r>
        <w:rPr>
          <w:rFonts w:hint="eastAsia"/>
          <w:sz w:val="20"/>
          <w:lang w:val="en-US" w:eastAsia="zh-CN"/>
        </w:rPr>
        <w:t xml:space="preserve"> </w:t>
      </w:r>
      <w:r>
        <w:rPr>
          <w:rFonts w:hint="eastAsia"/>
          <w:bCs/>
          <w:kern w:val="0"/>
          <w:szCs w:val="21"/>
        </w:rPr>
        <w:t>: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 xml:space="preserve">Proposal 1: To </w:t>
      </w:r>
      <w:r>
        <w:rPr>
          <w:rFonts w:hint="eastAsia"/>
          <w:b/>
          <w:sz w:val="20"/>
          <w:szCs w:val="20"/>
          <w:lang w:val="en-US" w:eastAsia="zh-CN"/>
        </w:rPr>
        <w:t>use the following MCS and channel model for demodulation requirement:</w:t>
      </w:r>
    </w:p>
    <w:p>
      <w:pPr>
        <w:pStyle w:val="32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ja-JP" w:bidi="ar-SA"/>
        </w:rPr>
        <w:t>TDLA30-10: MCS20</w:t>
      </w:r>
    </w:p>
    <w:p>
      <w:pPr>
        <w:pStyle w:val="32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ja-JP" w:bidi="ar-SA"/>
        </w:rPr>
        <w:t>TDLB100-400: MCS2</w:t>
      </w:r>
    </w:p>
    <w:p>
      <w:pPr>
        <w:pStyle w:val="32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ja-JP" w:bidi="ar-SA"/>
        </w:rPr>
        <w:t>TDLC300-100: MCS16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lang w:val="en-US" w:eastAsia="zh-CN"/>
        </w:rPr>
      </w:pPr>
      <w:r>
        <w:rPr>
          <w:rFonts w:hint="eastAsia" w:eastAsia="宋体"/>
          <w:b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sz w:val="20"/>
          <w:szCs w:val="20"/>
          <w:lang w:val="en-US" w:eastAsia="zh-CN"/>
        </w:rPr>
        <w:t>2</w:t>
      </w:r>
      <w:r>
        <w:rPr>
          <w:rFonts w:hint="eastAsia" w:eastAsia="宋体"/>
          <w:b/>
          <w:sz w:val="20"/>
          <w:szCs w:val="20"/>
          <w:lang w:val="en-US" w:eastAsia="zh-CN"/>
        </w:rPr>
        <w:t xml:space="preserve">: To </w:t>
      </w:r>
      <w:r>
        <w:rPr>
          <w:rFonts w:hint="eastAsia"/>
          <w:b/>
          <w:sz w:val="20"/>
          <w:szCs w:val="20"/>
          <w:lang w:val="en-US" w:eastAsia="zh-CN"/>
        </w:rPr>
        <w:t xml:space="preserve">only </w:t>
      </w:r>
      <w:bookmarkStart w:id="16" w:name="_GoBack"/>
      <w:bookmarkEnd w:id="16"/>
      <w:r>
        <w:rPr>
          <w:rFonts w:hint="eastAsia"/>
          <w:b/>
          <w:sz w:val="20"/>
          <w:szCs w:val="20"/>
          <w:lang w:val="en-US" w:eastAsia="zh-CN"/>
        </w:rPr>
        <w:t>use the TPMI index 0 for demodulation requirement.</w:t>
      </w:r>
    </w:p>
    <w:p>
      <w:pPr>
        <w:pStyle w:val="62"/>
        <w:keepLines w:val="0"/>
        <w:widowControl w:val="0"/>
        <w:spacing w:before="120" w:after="120"/>
        <w:ind w:left="0" w:firstLine="0"/>
        <w:rPr>
          <w:lang w:val="en-US" w:eastAsia="zh-CN"/>
        </w:rPr>
      </w:pP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hint="eastAsia"/>
          <w:sz w:val="20"/>
        </w:rPr>
      </w:pPr>
      <w:r>
        <w:rPr>
          <w:rFonts w:hint="eastAsia"/>
          <w:sz w:val="20"/>
        </w:rPr>
        <w:t xml:space="preserve">[1] </w:t>
      </w:r>
      <w:bookmarkStart w:id="15" w:name="OLE_LINK32"/>
      <w:r>
        <w:rPr>
          <w:rFonts w:hint="eastAsia"/>
          <w:sz w:val="20"/>
          <w:lang w:val="en-US" w:eastAsia="zh-CN"/>
        </w:rPr>
        <w:t xml:space="preserve"> </w:t>
      </w:r>
      <w:r>
        <w:rPr>
          <w:rFonts w:hint="eastAsia"/>
          <w:sz w:val="20"/>
        </w:rPr>
        <w:t>RP-223478 Revised WID Rel-18 NR_ENDC_ RF_FR1_enh2</w:t>
      </w:r>
      <w:r>
        <w:rPr>
          <w:rFonts w:hint="eastAsia"/>
          <w:sz w:val="20"/>
          <w:lang w:val="en-US" w:eastAsia="zh-CN"/>
        </w:rPr>
        <w:t xml:space="preserve">, </w:t>
      </w:r>
      <w:r>
        <w:rPr>
          <w:rFonts w:hint="eastAsia"/>
          <w:sz w:val="20"/>
        </w:rPr>
        <w:t>Huawei, HiSilicon, NTT DOCOMO</w:t>
      </w:r>
      <w:bookmarkEnd w:id="15"/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40" w:lineRule="auto"/>
        <w:jc w:val="left"/>
        <w:textAlignment w:val="auto"/>
        <w:rPr>
          <w:rFonts w:hint="default" w:eastAsia="宋体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[2]  R4-2302926 WF on FR1 4Tx demodulation requirement, Ericsson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  <w:lang w:val="en-US" w:eastAsia="zh-CN"/>
        </w:rPr>
      </w:pP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 w:ascii="Times New Roman" w:hAnsi="Times New Roman" w:eastAsia="宋体" w:cs="Times New Roman"/>
          <w:b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kern w:val="0"/>
          <w:sz w:val="24"/>
          <w:szCs w:val="24"/>
          <w:lang w:val="en-US" w:eastAsia="zh-CN"/>
        </w:rPr>
        <w:t>Annex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641215" cy="3990975"/>
            <wp:effectExtent l="0" t="0" r="6985" b="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rcRect l="5066" r="7611"/>
                    <a:stretch>
                      <a:fillRect/>
                    </a:stretch>
                  </pic:blipFill>
                  <pic:spPr>
                    <a:xfrm>
                      <a:off x="0" y="0"/>
                      <a:ext cx="464121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A-1 Throughput for 5MHz BW 15kHz SCS TDL-A 30-10 mapping type A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846320" cy="3990975"/>
            <wp:effectExtent l="0" t="0" r="0" b="0"/>
            <wp:docPr id="1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2"/>
                    <pic:cNvPicPr>
                      <a:picLocks noChangeAspect="1"/>
                    </pic:cNvPicPr>
                  </pic:nvPicPr>
                  <pic:blipFill>
                    <a:blip r:embed="rId18"/>
                    <a:srcRect l="4743" r="4074"/>
                    <a:stretch>
                      <a:fillRect/>
                    </a:stretch>
                  </pic:blipFill>
                  <pic:spPr>
                    <a:xfrm>
                      <a:off x="0" y="0"/>
                      <a:ext cx="484632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A-2 Throughput for 5MHz BW 15kHz SCS TDL-B 100-400 mapping type A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758690" cy="3990975"/>
            <wp:effectExtent l="0" t="0" r="0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19"/>
                    <a:srcRect l="6392" r="4074"/>
                    <a:stretch>
                      <a:fillRect/>
                    </a:stretch>
                  </pic:blipFill>
                  <pic:spPr>
                    <a:xfrm>
                      <a:off x="0" y="0"/>
                      <a:ext cx="475869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A-3 Throughput for 5MHz BW 15kHz SCS TDL-C 300-100 mapping type A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810760" cy="3990975"/>
            <wp:effectExtent l="0" t="0" r="0" b="0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r:embed="rId20"/>
                    <a:srcRect l="4636" r="4851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A-4 Throughput for 20MHz BW 15kHz SCS TDL-A 30-10 mapping type A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904740" cy="3990975"/>
            <wp:effectExtent l="0" t="0" r="0" b="0"/>
            <wp:docPr id="1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3"/>
                    <pic:cNvPicPr>
                      <a:picLocks noChangeAspect="1"/>
                    </pic:cNvPicPr>
                  </pic:nvPicPr>
                  <pic:blipFill>
                    <a:blip r:embed="rId21"/>
                    <a:srcRect l="4301" r="3417"/>
                    <a:stretch>
                      <a:fillRect/>
                    </a:stretch>
                  </pic:blipFill>
                  <pic:spPr>
                    <a:xfrm>
                      <a:off x="0" y="0"/>
                      <a:ext cx="490474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A-5 Throughput for 20MHz BW 15kHz SCS TDL-B 100-400 mapping type A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816475" cy="3990975"/>
            <wp:effectExtent l="0" t="0" r="0" b="0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rcRect l="5520" r="3859"/>
                    <a:stretch>
                      <a:fillRect/>
                    </a:stretch>
                  </pic:blipFill>
                  <pic:spPr>
                    <a:xfrm>
                      <a:off x="0" y="0"/>
                      <a:ext cx="4816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A-6 Throughput for 20MHz BW 15kHz SCS TDL-C 300-100 mapping type A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805045" cy="3990975"/>
            <wp:effectExtent l="0" t="0" r="10795" b="0"/>
            <wp:docPr id="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/>
                    <pic:cNvPicPr>
                      <a:picLocks noChangeAspect="1"/>
                    </pic:cNvPicPr>
                  </pic:nvPicPr>
                  <pic:blipFill>
                    <a:blip r:embed="rId23"/>
                    <a:srcRect l="3536" r="6057"/>
                    <a:stretch>
                      <a:fillRect/>
                    </a:stretch>
                  </pic:blipFill>
                  <pic:spPr>
                    <a:xfrm>
                      <a:off x="0" y="0"/>
                      <a:ext cx="480504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A-7 Throughput for 50MHz BW 15kHz SCS TDL-A 30-10 mapping type A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829175" cy="3990975"/>
            <wp:effectExtent l="0" t="0" r="0" b="0"/>
            <wp:docPr id="2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4"/>
                    <pic:cNvPicPr>
                      <a:picLocks noChangeAspect="1"/>
                    </pic:cNvPicPr>
                  </pic:nvPicPr>
                  <pic:blipFill>
                    <a:blip r:embed="rId24"/>
                    <a:srcRect l="5066" r="4074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A-8 Throughput for 50MHz BW 15kHz SCS TDL-B 100-400 mapping type A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881245" cy="3990975"/>
            <wp:effectExtent l="0" t="0" r="0" b="0"/>
            <wp:docPr id="1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3"/>
                    <pic:cNvPicPr>
                      <a:picLocks noChangeAspect="1"/>
                    </pic:cNvPicPr>
                  </pic:nvPicPr>
                  <pic:blipFill>
                    <a:blip r:embed="rId25"/>
                    <a:srcRect l="4409" r="3751"/>
                    <a:stretch>
                      <a:fillRect/>
                    </a:stretch>
                  </pic:blipFill>
                  <pic:spPr>
                    <a:xfrm>
                      <a:off x="0" y="0"/>
                      <a:ext cx="488124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A-9 Throughput for 50MHz BW 15kHz SCS TDL-C 300-100 mapping type A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711700" cy="3990975"/>
            <wp:effectExtent l="0" t="0" r="0" b="0"/>
            <wp:docPr id="1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4"/>
                    <pic:cNvPicPr>
                      <a:picLocks noChangeAspect="1"/>
                    </pic:cNvPicPr>
                  </pic:nvPicPr>
                  <pic:blipFill>
                    <a:blip r:embed="rId26"/>
                    <a:srcRect l="5615" r="5735"/>
                    <a:stretch>
                      <a:fillRect/>
                    </a:stretch>
                  </pic:blipFill>
                  <pic:spPr>
                    <a:xfrm>
                      <a:off x="0" y="0"/>
                      <a:ext cx="471170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A-10 Throughput for 10MHz BW 30kHz SCS TDL-A 30-10 mapping type A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886960" cy="3990975"/>
            <wp:effectExtent l="0" t="0" r="0" b="0"/>
            <wp:docPr id="2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5"/>
                    <pic:cNvPicPr>
                      <a:picLocks noChangeAspect="1"/>
                    </pic:cNvPicPr>
                  </pic:nvPicPr>
                  <pic:blipFill>
                    <a:blip r:embed="rId27"/>
                    <a:srcRect l="3859" r="4194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A-11 Throughput for 10MHz BW 30kHz SCS TDL-B 100-400 mapping type A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828540" cy="3990975"/>
            <wp:effectExtent l="0" t="0" r="0" b="0"/>
            <wp:docPr id="1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6"/>
                    <pic:cNvPicPr>
                      <a:picLocks noChangeAspect="1"/>
                    </pic:cNvPicPr>
                  </pic:nvPicPr>
                  <pic:blipFill>
                    <a:blip r:embed="rId28"/>
                    <a:srcRect l="5185" r="3967"/>
                    <a:stretch>
                      <a:fillRect/>
                    </a:stretch>
                  </pic:blipFill>
                  <pic:spPr>
                    <a:xfrm>
                      <a:off x="0" y="0"/>
                      <a:ext cx="482854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A-12 Throughput for 10MHz BW 30kHz SCS TDL-C 300-100 mapping type A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851400" cy="3990975"/>
            <wp:effectExtent l="0" t="0" r="0" b="0"/>
            <wp:docPr id="1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7"/>
                    <pic:cNvPicPr>
                      <a:picLocks noChangeAspect="1"/>
                    </pic:cNvPicPr>
                  </pic:nvPicPr>
                  <pic:blipFill>
                    <a:blip r:embed="rId29"/>
                    <a:srcRect l="3536" r="5185"/>
                    <a:stretch>
                      <a:fillRect/>
                    </a:stretch>
                  </pic:blipFill>
                  <pic:spPr>
                    <a:xfrm>
                      <a:off x="0" y="0"/>
                      <a:ext cx="485140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A-13 Throughput for 100MHz BW 30kHz SCS TDL-A 30-10 mapping type A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874895" cy="3990975"/>
            <wp:effectExtent l="0" t="0" r="1905" b="0"/>
            <wp:docPr id="2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6"/>
                    <pic:cNvPicPr>
                      <a:picLocks noChangeAspect="1"/>
                    </pic:cNvPicPr>
                  </pic:nvPicPr>
                  <pic:blipFill>
                    <a:blip r:embed="rId30"/>
                    <a:srcRect l="4528" r="3751"/>
                    <a:stretch>
                      <a:fillRect/>
                    </a:stretch>
                  </pic:blipFill>
                  <pic:spPr>
                    <a:xfrm>
                      <a:off x="0" y="0"/>
                      <a:ext cx="487489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A-14 Throughput for 10MHz BW 30kHz SCS TDL-B 100-400 mapping type A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893310" cy="3877945"/>
            <wp:effectExtent l="0" t="0" r="13970" b="8255"/>
            <wp:docPr id="1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9"/>
                    <pic:cNvPicPr>
                      <a:picLocks noChangeAspect="1"/>
                    </pic:cNvPicPr>
                  </pic:nvPicPr>
                  <pic:blipFill>
                    <a:blip r:embed="rId31"/>
                    <a:srcRect l="4301" t="2053" r="3632" b="780"/>
                    <a:stretch>
                      <a:fillRect/>
                    </a:stretch>
                  </pic:blipFill>
                  <pic:spPr>
                    <a:xfrm>
                      <a:off x="0" y="0"/>
                      <a:ext cx="4893310" cy="387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A-15 Throughput for 100MHz BW 30kHz SCS TDL-C 300-100 mapping type A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05F1C8C"/>
    <w:multiLevelType w:val="multilevel"/>
    <w:tmpl w:val="505F1C8C"/>
    <w:lvl w:ilvl="0" w:tentative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hint="default" w:ascii="Arial" w:hAnsi="Arial"/>
      </w:rPr>
    </w:lvl>
    <w:lvl w:ilvl="1" w:tentative="0">
      <w:start w:val="0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2" w:tentative="0">
      <w:start w:val="1"/>
      <w:numFmt w:val="bullet"/>
      <w:lvlText w:val="▪"/>
      <w:lvlJc w:val="left"/>
      <w:pPr>
        <w:tabs>
          <w:tab w:val="left" w:pos="1800"/>
        </w:tabs>
        <w:ind w:left="1800" w:hanging="360"/>
      </w:pPr>
      <w:rPr>
        <w:rFonts w:hint="default" w:ascii="Times New Roman" w:hAnsi="Times New Roman" w:eastAsia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 w:tentative="0">
      <w:start w:val="1686"/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hint="default" w:ascii="Arial" w:hAnsi="Arial"/>
      </w:rPr>
    </w:lvl>
    <w:lvl w:ilvl="4" w:tentative="0">
      <w:start w:val="1686"/>
      <w:numFmt w:val="bullet"/>
      <w:lvlText w:val="»"/>
      <w:lvlJc w:val="left"/>
      <w:pPr>
        <w:tabs>
          <w:tab w:val="left" w:pos="3240"/>
        </w:tabs>
        <w:ind w:left="324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hint="default" w:ascii="Arial" w:hAnsi="Arial"/>
      </w:rPr>
    </w:lvl>
  </w:abstractNum>
  <w:abstractNum w:abstractNumId="6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101B26"/>
    <w:rsid w:val="011A0B49"/>
    <w:rsid w:val="011B4658"/>
    <w:rsid w:val="014A0623"/>
    <w:rsid w:val="01536583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BB5167"/>
    <w:rsid w:val="01C00B7B"/>
    <w:rsid w:val="01D30D79"/>
    <w:rsid w:val="01D46B8D"/>
    <w:rsid w:val="01D866D8"/>
    <w:rsid w:val="01E309CA"/>
    <w:rsid w:val="01EE2663"/>
    <w:rsid w:val="01F90434"/>
    <w:rsid w:val="01FB366B"/>
    <w:rsid w:val="01FD3930"/>
    <w:rsid w:val="02045ABB"/>
    <w:rsid w:val="021B7C87"/>
    <w:rsid w:val="022D4A6E"/>
    <w:rsid w:val="023B0A39"/>
    <w:rsid w:val="023C78A7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C3F9C"/>
    <w:rsid w:val="03073BDC"/>
    <w:rsid w:val="030B0647"/>
    <w:rsid w:val="030B2860"/>
    <w:rsid w:val="030C40C1"/>
    <w:rsid w:val="030D2F0B"/>
    <w:rsid w:val="033C68CE"/>
    <w:rsid w:val="03445E8F"/>
    <w:rsid w:val="03496C64"/>
    <w:rsid w:val="035154D3"/>
    <w:rsid w:val="035251F8"/>
    <w:rsid w:val="03527C38"/>
    <w:rsid w:val="0356746F"/>
    <w:rsid w:val="036E37C2"/>
    <w:rsid w:val="03746F87"/>
    <w:rsid w:val="03814F5B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57AF8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B19B3"/>
    <w:rsid w:val="044C78D8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B8353C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973F0"/>
    <w:rsid w:val="053E65E7"/>
    <w:rsid w:val="0555228E"/>
    <w:rsid w:val="055A42CC"/>
    <w:rsid w:val="057D1D66"/>
    <w:rsid w:val="058A1B21"/>
    <w:rsid w:val="059D265F"/>
    <w:rsid w:val="05B92EC1"/>
    <w:rsid w:val="05C45888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C457B6"/>
    <w:rsid w:val="06CD4A70"/>
    <w:rsid w:val="06DF4C13"/>
    <w:rsid w:val="06E7678C"/>
    <w:rsid w:val="06F42A88"/>
    <w:rsid w:val="06F801C0"/>
    <w:rsid w:val="07105178"/>
    <w:rsid w:val="0712124C"/>
    <w:rsid w:val="071C13A8"/>
    <w:rsid w:val="073D143C"/>
    <w:rsid w:val="074855FD"/>
    <w:rsid w:val="07627CA0"/>
    <w:rsid w:val="076319C4"/>
    <w:rsid w:val="076925D2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EC3358"/>
    <w:rsid w:val="07ED524D"/>
    <w:rsid w:val="07EF5756"/>
    <w:rsid w:val="080124E3"/>
    <w:rsid w:val="080C7FA0"/>
    <w:rsid w:val="08193C24"/>
    <w:rsid w:val="081C61DE"/>
    <w:rsid w:val="08234820"/>
    <w:rsid w:val="08341060"/>
    <w:rsid w:val="08655F49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562FD"/>
    <w:rsid w:val="08CA27B1"/>
    <w:rsid w:val="08D22909"/>
    <w:rsid w:val="08E916DF"/>
    <w:rsid w:val="08F473EA"/>
    <w:rsid w:val="08FC0AA5"/>
    <w:rsid w:val="09306537"/>
    <w:rsid w:val="09355076"/>
    <w:rsid w:val="09392119"/>
    <w:rsid w:val="09445E95"/>
    <w:rsid w:val="09543B3B"/>
    <w:rsid w:val="09600FBD"/>
    <w:rsid w:val="0972595C"/>
    <w:rsid w:val="098143BC"/>
    <w:rsid w:val="098500F1"/>
    <w:rsid w:val="099B782B"/>
    <w:rsid w:val="099E32BA"/>
    <w:rsid w:val="09B060BF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8251CA"/>
    <w:rsid w:val="0A8828AB"/>
    <w:rsid w:val="0A927DC1"/>
    <w:rsid w:val="0A9B4F7F"/>
    <w:rsid w:val="0A9C263A"/>
    <w:rsid w:val="0A9E3D3D"/>
    <w:rsid w:val="0AA077E0"/>
    <w:rsid w:val="0AC01F88"/>
    <w:rsid w:val="0AC0212C"/>
    <w:rsid w:val="0AD542C1"/>
    <w:rsid w:val="0ADD5A20"/>
    <w:rsid w:val="0AE10FD9"/>
    <w:rsid w:val="0AF13898"/>
    <w:rsid w:val="0AFB3228"/>
    <w:rsid w:val="0AFC6C07"/>
    <w:rsid w:val="0B0025CC"/>
    <w:rsid w:val="0B0250FD"/>
    <w:rsid w:val="0B053D31"/>
    <w:rsid w:val="0B0F025C"/>
    <w:rsid w:val="0B1A6333"/>
    <w:rsid w:val="0B1B0D67"/>
    <w:rsid w:val="0B2713F4"/>
    <w:rsid w:val="0B3D701F"/>
    <w:rsid w:val="0B3E7DD7"/>
    <w:rsid w:val="0B561995"/>
    <w:rsid w:val="0B5C2C2A"/>
    <w:rsid w:val="0B665E0A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F916CE"/>
    <w:rsid w:val="0C04318C"/>
    <w:rsid w:val="0C0A1662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6F1666"/>
    <w:rsid w:val="0C723CD1"/>
    <w:rsid w:val="0C8B63A3"/>
    <w:rsid w:val="0CA3502C"/>
    <w:rsid w:val="0CB94808"/>
    <w:rsid w:val="0CC37BC2"/>
    <w:rsid w:val="0CD6498D"/>
    <w:rsid w:val="0CD87ABE"/>
    <w:rsid w:val="0CE26C42"/>
    <w:rsid w:val="0CE632FF"/>
    <w:rsid w:val="0CE76B48"/>
    <w:rsid w:val="0CEB5DBE"/>
    <w:rsid w:val="0CF06BF8"/>
    <w:rsid w:val="0CF176AC"/>
    <w:rsid w:val="0CFB523A"/>
    <w:rsid w:val="0D1B1E9C"/>
    <w:rsid w:val="0D3D71E5"/>
    <w:rsid w:val="0D4B44A1"/>
    <w:rsid w:val="0D6811B4"/>
    <w:rsid w:val="0D6E2620"/>
    <w:rsid w:val="0D704E21"/>
    <w:rsid w:val="0D7950B1"/>
    <w:rsid w:val="0D7F48FE"/>
    <w:rsid w:val="0D883C88"/>
    <w:rsid w:val="0D936E72"/>
    <w:rsid w:val="0D966BF7"/>
    <w:rsid w:val="0DAE4595"/>
    <w:rsid w:val="0DC64280"/>
    <w:rsid w:val="0DC826FC"/>
    <w:rsid w:val="0DCC3AE8"/>
    <w:rsid w:val="0DD87842"/>
    <w:rsid w:val="0DDF633A"/>
    <w:rsid w:val="0DEB2AC7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6271DF"/>
    <w:rsid w:val="0E81568A"/>
    <w:rsid w:val="0E942250"/>
    <w:rsid w:val="0E963344"/>
    <w:rsid w:val="0E9E6E00"/>
    <w:rsid w:val="0E9F7059"/>
    <w:rsid w:val="0EA40C1C"/>
    <w:rsid w:val="0EB72E4B"/>
    <w:rsid w:val="0EEC6F1D"/>
    <w:rsid w:val="0F103291"/>
    <w:rsid w:val="0F1D498B"/>
    <w:rsid w:val="0F1E5A47"/>
    <w:rsid w:val="0F337178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418ED"/>
    <w:rsid w:val="0F957B47"/>
    <w:rsid w:val="0F98796C"/>
    <w:rsid w:val="0F9E4958"/>
    <w:rsid w:val="0F9F6FA4"/>
    <w:rsid w:val="0FA65D5C"/>
    <w:rsid w:val="0FAD33DA"/>
    <w:rsid w:val="0FBE2A42"/>
    <w:rsid w:val="0FC17CCE"/>
    <w:rsid w:val="0FC424B9"/>
    <w:rsid w:val="0FD70565"/>
    <w:rsid w:val="0FEC680C"/>
    <w:rsid w:val="0FF01787"/>
    <w:rsid w:val="10007AD6"/>
    <w:rsid w:val="10043420"/>
    <w:rsid w:val="101B1E8A"/>
    <w:rsid w:val="101C4A03"/>
    <w:rsid w:val="101D0C86"/>
    <w:rsid w:val="102747A4"/>
    <w:rsid w:val="103F19C7"/>
    <w:rsid w:val="104A023B"/>
    <w:rsid w:val="104C0238"/>
    <w:rsid w:val="10505F3B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3A51DD"/>
    <w:rsid w:val="114028DC"/>
    <w:rsid w:val="1141355F"/>
    <w:rsid w:val="116B485A"/>
    <w:rsid w:val="116F1EB0"/>
    <w:rsid w:val="117B1D6A"/>
    <w:rsid w:val="117C2D9D"/>
    <w:rsid w:val="117F159E"/>
    <w:rsid w:val="11821DC9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815C4"/>
    <w:rsid w:val="11E57D4F"/>
    <w:rsid w:val="11F92DAB"/>
    <w:rsid w:val="11FC38D5"/>
    <w:rsid w:val="1210682D"/>
    <w:rsid w:val="12243EB6"/>
    <w:rsid w:val="122F4E3A"/>
    <w:rsid w:val="123A05DB"/>
    <w:rsid w:val="124240B9"/>
    <w:rsid w:val="124D0988"/>
    <w:rsid w:val="12680E73"/>
    <w:rsid w:val="12763466"/>
    <w:rsid w:val="127E5AA6"/>
    <w:rsid w:val="12874B45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E5106"/>
    <w:rsid w:val="1307341C"/>
    <w:rsid w:val="130C40FE"/>
    <w:rsid w:val="130E3629"/>
    <w:rsid w:val="130F03EB"/>
    <w:rsid w:val="131A4B0F"/>
    <w:rsid w:val="131B39DD"/>
    <w:rsid w:val="13283BA4"/>
    <w:rsid w:val="13332F77"/>
    <w:rsid w:val="13334E1C"/>
    <w:rsid w:val="13346EE4"/>
    <w:rsid w:val="13384952"/>
    <w:rsid w:val="133A4651"/>
    <w:rsid w:val="1355107F"/>
    <w:rsid w:val="135D4D2E"/>
    <w:rsid w:val="1366638D"/>
    <w:rsid w:val="136D76E8"/>
    <w:rsid w:val="137266E0"/>
    <w:rsid w:val="13735B23"/>
    <w:rsid w:val="138141DF"/>
    <w:rsid w:val="139D3156"/>
    <w:rsid w:val="13AA5FA1"/>
    <w:rsid w:val="13AF6488"/>
    <w:rsid w:val="13C20262"/>
    <w:rsid w:val="13D024B3"/>
    <w:rsid w:val="13D115EF"/>
    <w:rsid w:val="13D86A45"/>
    <w:rsid w:val="13DD445E"/>
    <w:rsid w:val="13DE7C83"/>
    <w:rsid w:val="13F3590D"/>
    <w:rsid w:val="13FD073F"/>
    <w:rsid w:val="140171D9"/>
    <w:rsid w:val="1405674E"/>
    <w:rsid w:val="140815BB"/>
    <w:rsid w:val="14087FC1"/>
    <w:rsid w:val="14095006"/>
    <w:rsid w:val="141C71BE"/>
    <w:rsid w:val="141E583B"/>
    <w:rsid w:val="142013C3"/>
    <w:rsid w:val="1424615D"/>
    <w:rsid w:val="142C143A"/>
    <w:rsid w:val="142E1345"/>
    <w:rsid w:val="145103FA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60B42"/>
    <w:rsid w:val="14EA1C4D"/>
    <w:rsid w:val="14F14F3B"/>
    <w:rsid w:val="150222BF"/>
    <w:rsid w:val="150F7C33"/>
    <w:rsid w:val="1515004B"/>
    <w:rsid w:val="151B7C99"/>
    <w:rsid w:val="15207BBA"/>
    <w:rsid w:val="152B44F4"/>
    <w:rsid w:val="152F4E1B"/>
    <w:rsid w:val="154D342A"/>
    <w:rsid w:val="15520877"/>
    <w:rsid w:val="1559587F"/>
    <w:rsid w:val="1574662E"/>
    <w:rsid w:val="15751882"/>
    <w:rsid w:val="1575191B"/>
    <w:rsid w:val="157818C6"/>
    <w:rsid w:val="159F73BB"/>
    <w:rsid w:val="15B03F28"/>
    <w:rsid w:val="15B95373"/>
    <w:rsid w:val="15E30A80"/>
    <w:rsid w:val="15E73E3D"/>
    <w:rsid w:val="1608480E"/>
    <w:rsid w:val="161C1C58"/>
    <w:rsid w:val="162F7556"/>
    <w:rsid w:val="16307A49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E63FC"/>
    <w:rsid w:val="1722504D"/>
    <w:rsid w:val="17355980"/>
    <w:rsid w:val="1738730F"/>
    <w:rsid w:val="17416499"/>
    <w:rsid w:val="17481B81"/>
    <w:rsid w:val="17481E8B"/>
    <w:rsid w:val="174A69B0"/>
    <w:rsid w:val="175007ED"/>
    <w:rsid w:val="176B45C6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CC1970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2A241D"/>
    <w:rsid w:val="182F50B9"/>
    <w:rsid w:val="18334194"/>
    <w:rsid w:val="183E1D37"/>
    <w:rsid w:val="184D0787"/>
    <w:rsid w:val="185D1883"/>
    <w:rsid w:val="185E3AA1"/>
    <w:rsid w:val="18812331"/>
    <w:rsid w:val="18816F1C"/>
    <w:rsid w:val="18853F3E"/>
    <w:rsid w:val="18956393"/>
    <w:rsid w:val="189859AD"/>
    <w:rsid w:val="18A8582C"/>
    <w:rsid w:val="18B50543"/>
    <w:rsid w:val="18B60776"/>
    <w:rsid w:val="18BA209C"/>
    <w:rsid w:val="18C9089D"/>
    <w:rsid w:val="18CA40C3"/>
    <w:rsid w:val="18CD7A02"/>
    <w:rsid w:val="18ED46F4"/>
    <w:rsid w:val="19001FFC"/>
    <w:rsid w:val="190E2B4A"/>
    <w:rsid w:val="191F7D1E"/>
    <w:rsid w:val="19256D7A"/>
    <w:rsid w:val="192A7C07"/>
    <w:rsid w:val="193275C2"/>
    <w:rsid w:val="194D2005"/>
    <w:rsid w:val="19655A52"/>
    <w:rsid w:val="19663168"/>
    <w:rsid w:val="197724BD"/>
    <w:rsid w:val="19786B0A"/>
    <w:rsid w:val="198A41A1"/>
    <w:rsid w:val="199A2059"/>
    <w:rsid w:val="19B30945"/>
    <w:rsid w:val="19B46E10"/>
    <w:rsid w:val="19B6536F"/>
    <w:rsid w:val="19C456C1"/>
    <w:rsid w:val="19F061A1"/>
    <w:rsid w:val="1A054259"/>
    <w:rsid w:val="1A081816"/>
    <w:rsid w:val="1A0C5680"/>
    <w:rsid w:val="1A165171"/>
    <w:rsid w:val="1A2A4993"/>
    <w:rsid w:val="1A4858FF"/>
    <w:rsid w:val="1A4C698A"/>
    <w:rsid w:val="1A5D5219"/>
    <w:rsid w:val="1A5E4B5A"/>
    <w:rsid w:val="1A672B1C"/>
    <w:rsid w:val="1A76068B"/>
    <w:rsid w:val="1A8301C0"/>
    <w:rsid w:val="1A872248"/>
    <w:rsid w:val="1A9B2279"/>
    <w:rsid w:val="1A9E6232"/>
    <w:rsid w:val="1AA2105D"/>
    <w:rsid w:val="1AA57BA7"/>
    <w:rsid w:val="1AA74D3D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2160BB"/>
    <w:rsid w:val="1B35751E"/>
    <w:rsid w:val="1B3637AD"/>
    <w:rsid w:val="1B3E0DB5"/>
    <w:rsid w:val="1B454C94"/>
    <w:rsid w:val="1B6C0DF0"/>
    <w:rsid w:val="1B7416EE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1E4608"/>
    <w:rsid w:val="1C273D33"/>
    <w:rsid w:val="1C4032AB"/>
    <w:rsid w:val="1C4672ED"/>
    <w:rsid w:val="1C467AB6"/>
    <w:rsid w:val="1C6277A9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E45EF5"/>
    <w:rsid w:val="1CE615C9"/>
    <w:rsid w:val="1CFA692A"/>
    <w:rsid w:val="1D037029"/>
    <w:rsid w:val="1D3305FF"/>
    <w:rsid w:val="1D395282"/>
    <w:rsid w:val="1D3B4937"/>
    <w:rsid w:val="1D4251BA"/>
    <w:rsid w:val="1D56717F"/>
    <w:rsid w:val="1D5F5386"/>
    <w:rsid w:val="1D7072CE"/>
    <w:rsid w:val="1D794A16"/>
    <w:rsid w:val="1D9E30A9"/>
    <w:rsid w:val="1DAB1006"/>
    <w:rsid w:val="1DB33C11"/>
    <w:rsid w:val="1DC65562"/>
    <w:rsid w:val="1DE94164"/>
    <w:rsid w:val="1DEE1B11"/>
    <w:rsid w:val="1E1149E3"/>
    <w:rsid w:val="1E164B52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C36E9D"/>
    <w:rsid w:val="1EC43064"/>
    <w:rsid w:val="1EE25FDD"/>
    <w:rsid w:val="1EF5103F"/>
    <w:rsid w:val="1EFF621F"/>
    <w:rsid w:val="1F090F9B"/>
    <w:rsid w:val="1F0E5D6B"/>
    <w:rsid w:val="1F3218E8"/>
    <w:rsid w:val="1F3E662A"/>
    <w:rsid w:val="1F4B46FD"/>
    <w:rsid w:val="1F4F2219"/>
    <w:rsid w:val="1F5353B6"/>
    <w:rsid w:val="1F614D01"/>
    <w:rsid w:val="1F721405"/>
    <w:rsid w:val="1F825709"/>
    <w:rsid w:val="1F935819"/>
    <w:rsid w:val="1FA6556D"/>
    <w:rsid w:val="1FAF2571"/>
    <w:rsid w:val="1FC55EDA"/>
    <w:rsid w:val="1FCE593C"/>
    <w:rsid w:val="1FE312AC"/>
    <w:rsid w:val="1FEC5915"/>
    <w:rsid w:val="1FED32EF"/>
    <w:rsid w:val="200F0830"/>
    <w:rsid w:val="201E6D7C"/>
    <w:rsid w:val="20446081"/>
    <w:rsid w:val="204852AD"/>
    <w:rsid w:val="204B330F"/>
    <w:rsid w:val="204E6676"/>
    <w:rsid w:val="205A5AA0"/>
    <w:rsid w:val="20773A28"/>
    <w:rsid w:val="208115A6"/>
    <w:rsid w:val="208574F4"/>
    <w:rsid w:val="208C4449"/>
    <w:rsid w:val="208F6BAF"/>
    <w:rsid w:val="20A462BA"/>
    <w:rsid w:val="20AE7AC3"/>
    <w:rsid w:val="20BF2AAC"/>
    <w:rsid w:val="20C849C7"/>
    <w:rsid w:val="20CA6D88"/>
    <w:rsid w:val="20DF66D2"/>
    <w:rsid w:val="20EC3F2E"/>
    <w:rsid w:val="20EC7C3E"/>
    <w:rsid w:val="210548E9"/>
    <w:rsid w:val="21124D15"/>
    <w:rsid w:val="211C6B81"/>
    <w:rsid w:val="213E7119"/>
    <w:rsid w:val="21530058"/>
    <w:rsid w:val="21732704"/>
    <w:rsid w:val="21810744"/>
    <w:rsid w:val="218D6EF5"/>
    <w:rsid w:val="2195668B"/>
    <w:rsid w:val="219F69EC"/>
    <w:rsid w:val="21A130EA"/>
    <w:rsid w:val="21C267BF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8A4698"/>
    <w:rsid w:val="22925971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B4D32"/>
    <w:rsid w:val="23131055"/>
    <w:rsid w:val="233C6F76"/>
    <w:rsid w:val="234449F5"/>
    <w:rsid w:val="23536618"/>
    <w:rsid w:val="23816932"/>
    <w:rsid w:val="23972CF0"/>
    <w:rsid w:val="239C062C"/>
    <w:rsid w:val="23A9484E"/>
    <w:rsid w:val="23B32F98"/>
    <w:rsid w:val="23B84268"/>
    <w:rsid w:val="23C87251"/>
    <w:rsid w:val="23D17D7B"/>
    <w:rsid w:val="23D36D91"/>
    <w:rsid w:val="23F70BA5"/>
    <w:rsid w:val="23F93D0D"/>
    <w:rsid w:val="2405417E"/>
    <w:rsid w:val="241B5C62"/>
    <w:rsid w:val="24352A14"/>
    <w:rsid w:val="2458381E"/>
    <w:rsid w:val="245872F9"/>
    <w:rsid w:val="245943D9"/>
    <w:rsid w:val="245E6B64"/>
    <w:rsid w:val="2463385E"/>
    <w:rsid w:val="248F4B88"/>
    <w:rsid w:val="24967323"/>
    <w:rsid w:val="249D01E4"/>
    <w:rsid w:val="249D5FC8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7550B9"/>
    <w:rsid w:val="26942D1C"/>
    <w:rsid w:val="26C472EC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6326B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8027A71"/>
    <w:rsid w:val="280420BC"/>
    <w:rsid w:val="281F4F67"/>
    <w:rsid w:val="2824563D"/>
    <w:rsid w:val="283744B4"/>
    <w:rsid w:val="283E7EC8"/>
    <w:rsid w:val="28483F46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E138E3"/>
    <w:rsid w:val="28E74216"/>
    <w:rsid w:val="28E87EE4"/>
    <w:rsid w:val="28FE42C1"/>
    <w:rsid w:val="28FF2940"/>
    <w:rsid w:val="2903396A"/>
    <w:rsid w:val="294E766A"/>
    <w:rsid w:val="29711074"/>
    <w:rsid w:val="297161D3"/>
    <w:rsid w:val="2978319A"/>
    <w:rsid w:val="29886D49"/>
    <w:rsid w:val="29897A2F"/>
    <w:rsid w:val="29A02DFF"/>
    <w:rsid w:val="29A075B4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A166823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2B6079"/>
    <w:rsid w:val="2B313FC1"/>
    <w:rsid w:val="2B347C14"/>
    <w:rsid w:val="2B39348E"/>
    <w:rsid w:val="2B3B2EA6"/>
    <w:rsid w:val="2B437285"/>
    <w:rsid w:val="2B474E9C"/>
    <w:rsid w:val="2B494377"/>
    <w:rsid w:val="2B4D695C"/>
    <w:rsid w:val="2B514803"/>
    <w:rsid w:val="2B637D4B"/>
    <w:rsid w:val="2B6B1684"/>
    <w:rsid w:val="2B7B70BF"/>
    <w:rsid w:val="2B7E4C41"/>
    <w:rsid w:val="2B853AF3"/>
    <w:rsid w:val="2B8B422C"/>
    <w:rsid w:val="2BA07D38"/>
    <w:rsid w:val="2BC40957"/>
    <w:rsid w:val="2BCB5DAA"/>
    <w:rsid w:val="2BD65380"/>
    <w:rsid w:val="2BE725D0"/>
    <w:rsid w:val="2BF369B9"/>
    <w:rsid w:val="2BFC0A4A"/>
    <w:rsid w:val="2C094904"/>
    <w:rsid w:val="2C0E55A1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2721B"/>
    <w:rsid w:val="2CAC6D87"/>
    <w:rsid w:val="2CB600FC"/>
    <w:rsid w:val="2CBB2852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95427"/>
    <w:rsid w:val="2D3D0E02"/>
    <w:rsid w:val="2D5436FA"/>
    <w:rsid w:val="2D62469E"/>
    <w:rsid w:val="2D6B40A9"/>
    <w:rsid w:val="2D6F3F2A"/>
    <w:rsid w:val="2D8703A1"/>
    <w:rsid w:val="2D8A3FA2"/>
    <w:rsid w:val="2D9767DC"/>
    <w:rsid w:val="2D980DDC"/>
    <w:rsid w:val="2D987372"/>
    <w:rsid w:val="2D9D0109"/>
    <w:rsid w:val="2DC66A91"/>
    <w:rsid w:val="2DC92AA1"/>
    <w:rsid w:val="2DCE5F69"/>
    <w:rsid w:val="2DDD4F0A"/>
    <w:rsid w:val="2DEB68E1"/>
    <w:rsid w:val="2DF42931"/>
    <w:rsid w:val="2E34792A"/>
    <w:rsid w:val="2E437E73"/>
    <w:rsid w:val="2E5034DC"/>
    <w:rsid w:val="2E572AB9"/>
    <w:rsid w:val="2E5B7370"/>
    <w:rsid w:val="2E6C0CFB"/>
    <w:rsid w:val="2E7258DC"/>
    <w:rsid w:val="2E79458E"/>
    <w:rsid w:val="2E797A78"/>
    <w:rsid w:val="2E7C6A94"/>
    <w:rsid w:val="2E8321A5"/>
    <w:rsid w:val="2E8D14A8"/>
    <w:rsid w:val="2E9F6D95"/>
    <w:rsid w:val="2EAE350B"/>
    <w:rsid w:val="2EB207EF"/>
    <w:rsid w:val="2EB20A6C"/>
    <w:rsid w:val="2EBC2287"/>
    <w:rsid w:val="2ECA3116"/>
    <w:rsid w:val="2EDD7896"/>
    <w:rsid w:val="2EEA6E65"/>
    <w:rsid w:val="2EF33C7C"/>
    <w:rsid w:val="2F00052B"/>
    <w:rsid w:val="2F0367CD"/>
    <w:rsid w:val="2F1251F2"/>
    <w:rsid w:val="2F2D445E"/>
    <w:rsid w:val="2F477108"/>
    <w:rsid w:val="2F4F6FBB"/>
    <w:rsid w:val="2F664E2B"/>
    <w:rsid w:val="2F6C7BE3"/>
    <w:rsid w:val="2F783485"/>
    <w:rsid w:val="2F7A5044"/>
    <w:rsid w:val="2F7F5C0B"/>
    <w:rsid w:val="2FA0088D"/>
    <w:rsid w:val="2FA6492D"/>
    <w:rsid w:val="2FC03679"/>
    <w:rsid w:val="2FC86676"/>
    <w:rsid w:val="2FD17A1B"/>
    <w:rsid w:val="2FD71CA4"/>
    <w:rsid w:val="2FDC4A8D"/>
    <w:rsid w:val="2FF93066"/>
    <w:rsid w:val="301A71CE"/>
    <w:rsid w:val="301E049B"/>
    <w:rsid w:val="302A4BE6"/>
    <w:rsid w:val="304478EC"/>
    <w:rsid w:val="30515C8E"/>
    <w:rsid w:val="3069301C"/>
    <w:rsid w:val="307B0C38"/>
    <w:rsid w:val="30926F91"/>
    <w:rsid w:val="30962F3E"/>
    <w:rsid w:val="30AA2585"/>
    <w:rsid w:val="30BD4C2E"/>
    <w:rsid w:val="30C16A19"/>
    <w:rsid w:val="30CB5800"/>
    <w:rsid w:val="30D32236"/>
    <w:rsid w:val="30FA7530"/>
    <w:rsid w:val="30FF2795"/>
    <w:rsid w:val="310375CD"/>
    <w:rsid w:val="31077BF1"/>
    <w:rsid w:val="310E6387"/>
    <w:rsid w:val="311611B3"/>
    <w:rsid w:val="313C313D"/>
    <w:rsid w:val="313F6DC6"/>
    <w:rsid w:val="314E236F"/>
    <w:rsid w:val="315A7A1E"/>
    <w:rsid w:val="315E0B07"/>
    <w:rsid w:val="31621F46"/>
    <w:rsid w:val="316E7CA0"/>
    <w:rsid w:val="31711550"/>
    <w:rsid w:val="317206BF"/>
    <w:rsid w:val="317932EA"/>
    <w:rsid w:val="317E5000"/>
    <w:rsid w:val="31875BB4"/>
    <w:rsid w:val="31B718F2"/>
    <w:rsid w:val="31D20051"/>
    <w:rsid w:val="31EF7EE8"/>
    <w:rsid w:val="3201404F"/>
    <w:rsid w:val="32027298"/>
    <w:rsid w:val="320901F5"/>
    <w:rsid w:val="320B7CCB"/>
    <w:rsid w:val="32105DE8"/>
    <w:rsid w:val="3235187E"/>
    <w:rsid w:val="3237186B"/>
    <w:rsid w:val="323B6798"/>
    <w:rsid w:val="324A3219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BE0772"/>
    <w:rsid w:val="32DF351E"/>
    <w:rsid w:val="32EE5E41"/>
    <w:rsid w:val="32F40F87"/>
    <w:rsid w:val="32FD7C76"/>
    <w:rsid w:val="330C22FC"/>
    <w:rsid w:val="330D431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961B7"/>
    <w:rsid w:val="34BD02AE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C06D50"/>
    <w:rsid w:val="35CD6F14"/>
    <w:rsid w:val="35D24294"/>
    <w:rsid w:val="35D71152"/>
    <w:rsid w:val="35FF6F3C"/>
    <w:rsid w:val="36075F27"/>
    <w:rsid w:val="360D1C5B"/>
    <w:rsid w:val="36121506"/>
    <w:rsid w:val="361D7A43"/>
    <w:rsid w:val="361F3323"/>
    <w:rsid w:val="36402EFA"/>
    <w:rsid w:val="36496A51"/>
    <w:rsid w:val="365623F6"/>
    <w:rsid w:val="368230C6"/>
    <w:rsid w:val="36843A03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E93760"/>
    <w:rsid w:val="36FB4305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503E6C"/>
    <w:rsid w:val="3758590A"/>
    <w:rsid w:val="375E77B2"/>
    <w:rsid w:val="37602E60"/>
    <w:rsid w:val="37736F26"/>
    <w:rsid w:val="378229A7"/>
    <w:rsid w:val="3784394E"/>
    <w:rsid w:val="37987437"/>
    <w:rsid w:val="379F33FC"/>
    <w:rsid w:val="37A432E4"/>
    <w:rsid w:val="37A86196"/>
    <w:rsid w:val="37AD1354"/>
    <w:rsid w:val="37BB3C3C"/>
    <w:rsid w:val="37C94031"/>
    <w:rsid w:val="37CA042E"/>
    <w:rsid w:val="37D44549"/>
    <w:rsid w:val="37D77B09"/>
    <w:rsid w:val="37D97EDE"/>
    <w:rsid w:val="37E76E34"/>
    <w:rsid w:val="380673BD"/>
    <w:rsid w:val="380D02B1"/>
    <w:rsid w:val="38100372"/>
    <w:rsid w:val="382B1BDF"/>
    <w:rsid w:val="382E392C"/>
    <w:rsid w:val="38342E90"/>
    <w:rsid w:val="384B7332"/>
    <w:rsid w:val="385056AF"/>
    <w:rsid w:val="385474EE"/>
    <w:rsid w:val="38601D35"/>
    <w:rsid w:val="386652BF"/>
    <w:rsid w:val="38693DA0"/>
    <w:rsid w:val="386A7142"/>
    <w:rsid w:val="38706DCB"/>
    <w:rsid w:val="388E5848"/>
    <w:rsid w:val="38A341A7"/>
    <w:rsid w:val="38BA6810"/>
    <w:rsid w:val="38BD31EE"/>
    <w:rsid w:val="38CB3BDF"/>
    <w:rsid w:val="38D33D29"/>
    <w:rsid w:val="38D41CCF"/>
    <w:rsid w:val="38D62E18"/>
    <w:rsid w:val="38E40A5B"/>
    <w:rsid w:val="38E842BA"/>
    <w:rsid w:val="38F16A28"/>
    <w:rsid w:val="391A3359"/>
    <w:rsid w:val="39285D57"/>
    <w:rsid w:val="394B6470"/>
    <w:rsid w:val="395C6EA8"/>
    <w:rsid w:val="39872512"/>
    <w:rsid w:val="39A602F9"/>
    <w:rsid w:val="39BD45C8"/>
    <w:rsid w:val="39C2316A"/>
    <w:rsid w:val="39C44028"/>
    <w:rsid w:val="39E643EA"/>
    <w:rsid w:val="39EE27B2"/>
    <w:rsid w:val="39F36281"/>
    <w:rsid w:val="39FA0290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4F28E5"/>
    <w:rsid w:val="3A523735"/>
    <w:rsid w:val="3A557AE4"/>
    <w:rsid w:val="3A6B0F84"/>
    <w:rsid w:val="3A727435"/>
    <w:rsid w:val="3A813EA6"/>
    <w:rsid w:val="3A94055A"/>
    <w:rsid w:val="3AB00167"/>
    <w:rsid w:val="3ABF30D9"/>
    <w:rsid w:val="3AC17E3A"/>
    <w:rsid w:val="3ACB5746"/>
    <w:rsid w:val="3ACE209E"/>
    <w:rsid w:val="3ADD1594"/>
    <w:rsid w:val="3ADD2B05"/>
    <w:rsid w:val="3AE417E3"/>
    <w:rsid w:val="3AE440AF"/>
    <w:rsid w:val="3AF66D28"/>
    <w:rsid w:val="3AF7667E"/>
    <w:rsid w:val="3B113F51"/>
    <w:rsid w:val="3B192990"/>
    <w:rsid w:val="3B2D3716"/>
    <w:rsid w:val="3B307112"/>
    <w:rsid w:val="3B3E5BDD"/>
    <w:rsid w:val="3B4475EB"/>
    <w:rsid w:val="3B5A2A22"/>
    <w:rsid w:val="3B707794"/>
    <w:rsid w:val="3B7804A3"/>
    <w:rsid w:val="3B8B6A9C"/>
    <w:rsid w:val="3B8E2153"/>
    <w:rsid w:val="3B8E482A"/>
    <w:rsid w:val="3B9B2072"/>
    <w:rsid w:val="3BA03B83"/>
    <w:rsid w:val="3BB20883"/>
    <w:rsid w:val="3BC34E75"/>
    <w:rsid w:val="3BCB270F"/>
    <w:rsid w:val="3BD96AA6"/>
    <w:rsid w:val="3BED002E"/>
    <w:rsid w:val="3BF522AA"/>
    <w:rsid w:val="3BF73E90"/>
    <w:rsid w:val="3C0429BF"/>
    <w:rsid w:val="3C1A201A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734413"/>
    <w:rsid w:val="3C8950CB"/>
    <w:rsid w:val="3C923F62"/>
    <w:rsid w:val="3C982C18"/>
    <w:rsid w:val="3CA734F8"/>
    <w:rsid w:val="3CA95F71"/>
    <w:rsid w:val="3CC16893"/>
    <w:rsid w:val="3CC74223"/>
    <w:rsid w:val="3CC828D0"/>
    <w:rsid w:val="3CD64EC6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D6BBD"/>
    <w:rsid w:val="3D450F8C"/>
    <w:rsid w:val="3D4518DD"/>
    <w:rsid w:val="3D477118"/>
    <w:rsid w:val="3D594E54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B90549"/>
    <w:rsid w:val="3DC46444"/>
    <w:rsid w:val="3DED0F96"/>
    <w:rsid w:val="3DF95812"/>
    <w:rsid w:val="3E136B4F"/>
    <w:rsid w:val="3E1D4B24"/>
    <w:rsid w:val="3E3A04FA"/>
    <w:rsid w:val="3E3D6B96"/>
    <w:rsid w:val="3E441C7D"/>
    <w:rsid w:val="3E490256"/>
    <w:rsid w:val="3E55739E"/>
    <w:rsid w:val="3E610D47"/>
    <w:rsid w:val="3E645B62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F0236A7"/>
    <w:rsid w:val="3F035EE1"/>
    <w:rsid w:val="3F0406D4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643908"/>
    <w:rsid w:val="3F6B75A6"/>
    <w:rsid w:val="3F8C0A49"/>
    <w:rsid w:val="3F8E7DCD"/>
    <w:rsid w:val="3F913853"/>
    <w:rsid w:val="3F9660C3"/>
    <w:rsid w:val="3F9724DD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C05FC"/>
    <w:rsid w:val="40146E6B"/>
    <w:rsid w:val="403052F1"/>
    <w:rsid w:val="40330D29"/>
    <w:rsid w:val="404469FD"/>
    <w:rsid w:val="404A2717"/>
    <w:rsid w:val="404E779F"/>
    <w:rsid w:val="4059090D"/>
    <w:rsid w:val="4065170A"/>
    <w:rsid w:val="406E5CAB"/>
    <w:rsid w:val="40713C35"/>
    <w:rsid w:val="407E4307"/>
    <w:rsid w:val="408376F8"/>
    <w:rsid w:val="40861C7A"/>
    <w:rsid w:val="40901AD0"/>
    <w:rsid w:val="40A25054"/>
    <w:rsid w:val="40A325E0"/>
    <w:rsid w:val="40B7228C"/>
    <w:rsid w:val="40BD0DA1"/>
    <w:rsid w:val="40CF628B"/>
    <w:rsid w:val="40EC7D18"/>
    <w:rsid w:val="40ED11A0"/>
    <w:rsid w:val="40FD1BF0"/>
    <w:rsid w:val="40FE7A3D"/>
    <w:rsid w:val="41096BC0"/>
    <w:rsid w:val="410A75B6"/>
    <w:rsid w:val="410B452A"/>
    <w:rsid w:val="41146D26"/>
    <w:rsid w:val="413353F1"/>
    <w:rsid w:val="413A6718"/>
    <w:rsid w:val="41513BC9"/>
    <w:rsid w:val="41735B7F"/>
    <w:rsid w:val="419E60D3"/>
    <w:rsid w:val="41A339F5"/>
    <w:rsid w:val="41A36C7E"/>
    <w:rsid w:val="41C93F6C"/>
    <w:rsid w:val="41D75714"/>
    <w:rsid w:val="41DD3BC3"/>
    <w:rsid w:val="41EE2F03"/>
    <w:rsid w:val="41F466FD"/>
    <w:rsid w:val="42002BC7"/>
    <w:rsid w:val="42026B03"/>
    <w:rsid w:val="420D197F"/>
    <w:rsid w:val="42187EBE"/>
    <w:rsid w:val="42273D8C"/>
    <w:rsid w:val="4227435A"/>
    <w:rsid w:val="424B5824"/>
    <w:rsid w:val="42616DD3"/>
    <w:rsid w:val="426973AD"/>
    <w:rsid w:val="426F56CA"/>
    <w:rsid w:val="427A67A1"/>
    <w:rsid w:val="427E0B36"/>
    <w:rsid w:val="42A03D98"/>
    <w:rsid w:val="42A729F1"/>
    <w:rsid w:val="42B94BC1"/>
    <w:rsid w:val="42C30254"/>
    <w:rsid w:val="42C42A08"/>
    <w:rsid w:val="42C54061"/>
    <w:rsid w:val="42D064B1"/>
    <w:rsid w:val="42D41F6D"/>
    <w:rsid w:val="42D5342A"/>
    <w:rsid w:val="42DE48A3"/>
    <w:rsid w:val="42E16058"/>
    <w:rsid w:val="42F17BF5"/>
    <w:rsid w:val="42F30D8B"/>
    <w:rsid w:val="42F87EC9"/>
    <w:rsid w:val="42FA45BF"/>
    <w:rsid w:val="430E7E66"/>
    <w:rsid w:val="4332317A"/>
    <w:rsid w:val="433246A0"/>
    <w:rsid w:val="433E162C"/>
    <w:rsid w:val="433F6B54"/>
    <w:rsid w:val="4346543A"/>
    <w:rsid w:val="43533E29"/>
    <w:rsid w:val="435B1259"/>
    <w:rsid w:val="436263D5"/>
    <w:rsid w:val="437556C4"/>
    <w:rsid w:val="437A5D15"/>
    <w:rsid w:val="43874CD4"/>
    <w:rsid w:val="438D061F"/>
    <w:rsid w:val="439B699F"/>
    <w:rsid w:val="43AA418A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300615"/>
    <w:rsid w:val="44371929"/>
    <w:rsid w:val="443740AF"/>
    <w:rsid w:val="443F5998"/>
    <w:rsid w:val="44480935"/>
    <w:rsid w:val="444851FA"/>
    <w:rsid w:val="44544CC5"/>
    <w:rsid w:val="445E4DEE"/>
    <w:rsid w:val="44640994"/>
    <w:rsid w:val="446B0434"/>
    <w:rsid w:val="44756A66"/>
    <w:rsid w:val="447E4EBE"/>
    <w:rsid w:val="447F0CBA"/>
    <w:rsid w:val="44932B3D"/>
    <w:rsid w:val="44957F46"/>
    <w:rsid w:val="44994CF5"/>
    <w:rsid w:val="44AD40AD"/>
    <w:rsid w:val="44DC46EB"/>
    <w:rsid w:val="44EA6491"/>
    <w:rsid w:val="44F03F8F"/>
    <w:rsid w:val="44F14ECF"/>
    <w:rsid w:val="44F8119B"/>
    <w:rsid w:val="4504328F"/>
    <w:rsid w:val="451944ED"/>
    <w:rsid w:val="45275172"/>
    <w:rsid w:val="45332511"/>
    <w:rsid w:val="453F44DA"/>
    <w:rsid w:val="45412C46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894B18"/>
    <w:rsid w:val="469448C6"/>
    <w:rsid w:val="46A85D08"/>
    <w:rsid w:val="46AB0067"/>
    <w:rsid w:val="46B80AF8"/>
    <w:rsid w:val="46BE75C6"/>
    <w:rsid w:val="46D37F0B"/>
    <w:rsid w:val="46D71533"/>
    <w:rsid w:val="46E53335"/>
    <w:rsid w:val="46E66D66"/>
    <w:rsid w:val="47155D89"/>
    <w:rsid w:val="473069AF"/>
    <w:rsid w:val="474A0EAF"/>
    <w:rsid w:val="474E50BE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54581"/>
    <w:rsid w:val="48A736CF"/>
    <w:rsid w:val="48B116EA"/>
    <w:rsid w:val="48B74C7A"/>
    <w:rsid w:val="48BE32BF"/>
    <w:rsid w:val="48C354EC"/>
    <w:rsid w:val="48C63EA0"/>
    <w:rsid w:val="48D429DD"/>
    <w:rsid w:val="48E01C77"/>
    <w:rsid w:val="48E22285"/>
    <w:rsid w:val="48E32BE3"/>
    <w:rsid w:val="48E50D90"/>
    <w:rsid w:val="48EB0D16"/>
    <w:rsid w:val="48FA15CC"/>
    <w:rsid w:val="49027758"/>
    <w:rsid w:val="490C020A"/>
    <w:rsid w:val="491B63DF"/>
    <w:rsid w:val="491D63E9"/>
    <w:rsid w:val="4932285C"/>
    <w:rsid w:val="49384E02"/>
    <w:rsid w:val="493E2F78"/>
    <w:rsid w:val="495217DF"/>
    <w:rsid w:val="49530EA7"/>
    <w:rsid w:val="4958367A"/>
    <w:rsid w:val="498A16CD"/>
    <w:rsid w:val="49A33C27"/>
    <w:rsid w:val="49A750B5"/>
    <w:rsid w:val="49BE07DA"/>
    <w:rsid w:val="49C84AA0"/>
    <w:rsid w:val="49D7694D"/>
    <w:rsid w:val="4A0244D3"/>
    <w:rsid w:val="4A067C85"/>
    <w:rsid w:val="4A255046"/>
    <w:rsid w:val="4A2E1525"/>
    <w:rsid w:val="4A5A756D"/>
    <w:rsid w:val="4A722B4C"/>
    <w:rsid w:val="4A785772"/>
    <w:rsid w:val="4A842E43"/>
    <w:rsid w:val="4A89105B"/>
    <w:rsid w:val="4AA341CC"/>
    <w:rsid w:val="4AC13295"/>
    <w:rsid w:val="4AC31003"/>
    <w:rsid w:val="4AC40F4C"/>
    <w:rsid w:val="4AC43783"/>
    <w:rsid w:val="4AD23CE7"/>
    <w:rsid w:val="4AD25F33"/>
    <w:rsid w:val="4ADD641F"/>
    <w:rsid w:val="4AE072CB"/>
    <w:rsid w:val="4AE93159"/>
    <w:rsid w:val="4AEE0C43"/>
    <w:rsid w:val="4AF02EA1"/>
    <w:rsid w:val="4AFA0B7E"/>
    <w:rsid w:val="4B174032"/>
    <w:rsid w:val="4B250CF8"/>
    <w:rsid w:val="4B2873FD"/>
    <w:rsid w:val="4B3D4DE9"/>
    <w:rsid w:val="4B492D39"/>
    <w:rsid w:val="4B533766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106DE6"/>
    <w:rsid w:val="4C2910DF"/>
    <w:rsid w:val="4C2B4DDD"/>
    <w:rsid w:val="4C562920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DA2AF3"/>
    <w:rsid w:val="4CDF19B6"/>
    <w:rsid w:val="4CE34E9F"/>
    <w:rsid w:val="4CF52D94"/>
    <w:rsid w:val="4D015C34"/>
    <w:rsid w:val="4D462159"/>
    <w:rsid w:val="4D47409F"/>
    <w:rsid w:val="4D525BE3"/>
    <w:rsid w:val="4D566017"/>
    <w:rsid w:val="4D6022FC"/>
    <w:rsid w:val="4D637556"/>
    <w:rsid w:val="4D7D3EFB"/>
    <w:rsid w:val="4D882A74"/>
    <w:rsid w:val="4D8B0123"/>
    <w:rsid w:val="4DA1281F"/>
    <w:rsid w:val="4DAF14C5"/>
    <w:rsid w:val="4DB9067A"/>
    <w:rsid w:val="4DC605B6"/>
    <w:rsid w:val="4DC93E3E"/>
    <w:rsid w:val="4DD732D2"/>
    <w:rsid w:val="4DEC0985"/>
    <w:rsid w:val="4DED0427"/>
    <w:rsid w:val="4E0538A3"/>
    <w:rsid w:val="4E0E6818"/>
    <w:rsid w:val="4E2603A1"/>
    <w:rsid w:val="4E27683A"/>
    <w:rsid w:val="4E321D35"/>
    <w:rsid w:val="4E397241"/>
    <w:rsid w:val="4E4C50A3"/>
    <w:rsid w:val="4E510698"/>
    <w:rsid w:val="4E576363"/>
    <w:rsid w:val="4E5D49B1"/>
    <w:rsid w:val="4E615519"/>
    <w:rsid w:val="4E635567"/>
    <w:rsid w:val="4E674786"/>
    <w:rsid w:val="4E676D7A"/>
    <w:rsid w:val="4E742982"/>
    <w:rsid w:val="4E743D7E"/>
    <w:rsid w:val="4E7F1E8F"/>
    <w:rsid w:val="4E8431F9"/>
    <w:rsid w:val="4E862481"/>
    <w:rsid w:val="4E901072"/>
    <w:rsid w:val="4E9C0636"/>
    <w:rsid w:val="4E9D29FB"/>
    <w:rsid w:val="4EA30DB6"/>
    <w:rsid w:val="4EA7341F"/>
    <w:rsid w:val="4EDB58B2"/>
    <w:rsid w:val="4EE925CE"/>
    <w:rsid w:val="4EEB1A94"/>
    <w:rsid w:val="4EEB74E5"/>
    <w:rsid w:val="4EEF2E30"/>
    <w:rsid w:val="4EF24828"/>
    <w:rsid w:val="4EFE7F59"/>
    <w:rsid w:val="4F285975"/>
    <w:rsid w:val="4F2A7BF3"/>
    <w:rsid w:val="4F2E2624"/>
    <w:rsid w:val="4F4E1077"/>
    <w:rsid w:val="4F546156"/>
    <w:rsid w:val="4F5D1434"/>
    <w:rsid w:val="4F7C136F"/>
    <w:rsid w:val="4F844A99"/>
    <w:rsid w:val="4F94662C"/>
    <w:rsid w:val="4FB00163"/>
    <w:rsid w:val="4FB208E7"/>
    <w:rsid w:val="4FE30332"/>
    <w:rsid w:val="4FE70BB4"/>
    <w:rsid w:val="4FE73C01"/>
    <w:rsid w:val="4FE87C31"/>
    <w:rsid w:val="4FF14DCF"/>
    <w:rsid w:val="500815B6"/>
    <w:rsid w:val="500B39BC"/>
    <w:rsid w:val="502173F8"/>
    <w:rsid w:val="5022123F"/>
    <w:rsid w:val="502B7315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8216D"/>
    <w:rsid w:val="50BB6306"/>
    <w:rsid w:val="50CD2E4B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781A83"/>
    <w:rsid w:val="51867298"/>
    <w:rsid w:val="51894D69"/>
    <w:rsid w:val="518D21E1"/>
    <w:rsid w:val="51930297"/>
    <w:rsid w:val="51953936"/>
    <w:rsid w:val="519E116A"/>
    <w:rsid w:val="51A2793A"/>
    <w:rsid w:val="51BA0CB7"/>
    <w:rsid w:val="51D129CA"/>
    <w:rsid w:val="51D93F8A"/>
    <w:rsid w:val="51D940B1"/>
    <w:rsid w:val="51E5046A"/>
    <w:rsid w:val="52272B85"/>
    <w:rsid w:val="52284E31"/>
    <w:rsid w:val="52315E02"/>
    <w:rsid w:val="523841A5"/>
    <w:rsid w:val="523E09B5"/>
    <w:rsid w:val="52687B2A"/>
    <w:rsid w:val="526E0E82"/>
    <w:rsid w:val="527733A7"/>
    <w:rsid w:val="527901C6"/>
    <w:rsid w:val="528F4A24"/>
    <w:rsid w:val="52944BB6"/>
    <w:rsid w:val="529A08FC"/>
    <w:rsid w:val="52A24532"/>
    <w:rsid w:val="52B3363A"/>
    <w:rsid w:val="52C4763C"/>
    <w:rsid w:val="52D944B7"/>
    <w:rsid w:val="52DE691D"/>
    <w:rsid w:val="52E04D27"/>
    <w:rsid w:val="52ED0C96"/>
    <w:rsid w:val="52FD644D"/>
    <w:rsid w:val="53061721"/>
    <w:rsid w:val="530C0E6B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D6247A"/>
    <w:rsid w:val="53DB3477"/>
    <w:rsid w:val="53DE00FF"/>
    <w:rsid w:val="53E77CBF"/>
    <w:rsid w:val="53FE7128"/>
    <w:rsid w:val="5403263B"/>
    <w:rsid w:val="540F3D40"/>
    <w:rsid w:val="54201800"/>
    <w:rsid w:val="54247F22"/>
    <w:rsid w:val="542B4430"/>
    <w:rsid w:val="542C29CD"/>
    <w:rsid w:val="542F1551"/>
    <w:rsid w:val="54381756"/>
    <w:rsid w:val="545750B7"/>
    <w:rsid w:val="545A1EBF"/>
    <w:rsid w:val="54727478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A25EB7"/>
    <w:rsid w:val="55A82784"/>
    <w:rsid w:val="55A97512"/>
    <w:rsid w:val="55B572F0"/>
    <w:rsid w:val="55B63FD5"/>
    <w:rsid w:val="55C35A76"/>
    <w:rsid w:val="55CC592A"/>
    <w:rsid w:val="55D40743"/>
    <w:rsid w:val="55DD6F2A"/>
    <w:rsid w:val="55E73480"/>
    <w:rsid w:val="55E8339E"/>
    <w:rsid w:val="55F06771"/>
    <w:rsid w:val="5608031D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C1700B"/>
    <w:rsid w:val="56D04D2F"/>
    <w:rsid w:val="56D25618"/>
    <w:rsid w:val="56D7644B"/>
    <w:rsid w:val="56E84A97"/>
    <w:rsid w:val="56FB2A68"/>
    <w:rsid w:val="57011F3E"/>
    <w:rsid w:val="5705646B"/>
    <w:rsid w:val="57060649"/>
    <w:rsid w:val="572657E3"/>
    <w:rsid w:val="5732705F"/>
    <w:rsid w:val="57351D6F"/>
    <w:rsid w:val="57482CC2"/>
    <w:rsid w:val="5752012F"/>
    <w:rsid w:val="576476C1"/>
    <w:rsid w:val="57770501"/>
    <w:rsid w:val="577B3337"/>
    <w:rsid w:val="577D4F28"/>
    <w:rsid w:val="57A33734"/>
    <w:rsid w:val="57AB6ADD"/>
    <w:rsid w:val="57B7178E"/>
    <w:rsid w:val="57B71EB5"/>
    <w:rsid w:val="57B76EED"/>
    <w:rsid w:val="57BD72A7"/>
    <w:rsid w:val="57BE5838"/>
    <w:rsid w:val="57BE5B51"/>
    <w:rsid w:val="57D82354"/>
    <w:rsid w:val="57FC07D9"/>
    <w:rsid w:val="57FF6992"/>
    <w:rsid w:val="580B37BE"/>
    <w:rsid w:val="580F1B21"/>
    <w:rsid w:val="581B7E79"/>
    <w:rsid w:val="58500F22"/>
    <w:rsid w:val="58587379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D36BCB"/>
    <w:rsid w:val="58E00BA4"/>
    <w:rsid w:val="58E6349C"/>
    <w:rsid w:val="58EF63EE"/>
    <w:rsid w:val="590317F0"/>
    <w:rsid w:val="59075000"/>
    <w:rsid w:val="593504BB"/>
    <w:rsid w:val="593559FD"/>
    <w:rsid w:val="594079B2"/>
    <w:rsid w:val="596A688E"/>
    <w:rsid w:val="5987482A"/>
    <w:rsid w:val="598C6F19"/>
    <w:rsid w:val="599C49A8"/>
    <w:rsid w:val="59A36725"/>
    <w:rsid w:val="59B21BF9"/>
    <w:rsid w:val="59BB4EA3"/>
    <w:rsid w:val="59E9525B"/>
    <w:rsid w:val="59F01012"/>
    <w:rsid w:val="59F70BAF"/>
    <w:rsid w:val="5A0D5C90"/>
    <w:rsid w:val="5A297D0D"/>
    <w:rsid w:val="5A3B166C"/>
    <w:rsid w:val="5A3C0F08"/>
    <w:rsid w:val="5A3E5B83"/>
    <w:rsid w:val="5A54407C"/>
    <w:rsid w:val="5A5663A3"/>
    <w:rsid w:val="5A571746"/>
    <w:rsid w:val="5A6253E3"/>
    <w:rsid w:val="5A680E5C"/>
    <w:rsid w:val="5A8E2B19"/>
    <w:rsid w:val="5A8E6670"/>
    <w:rsid w:val="5A912613"/>
    <w:rsid w:val="5A9245E9"/>
    <w:rsid w:val="5A953D41"/>
    <w:rsid w:val="5AAD5F60"/>
    <w:rsid w:val="5ABC50F4"/>
    <w:rsid w:val="5AC27E1F"/>
    <w:rsid w:val="5ACC4940"/>
    <w:rsid w:val="5AD23086"/>
    <w:rsid w:val="5AD86A6D"/>
    <w:rsid w:val="5AEC14F6"/>
    <w:rsid w:val="5AF124A4"/>
    <w:rsid w:val="5B0D2D1B"/>
    <w:rsid w:val="5B141085"/>
    <w:rsid w:val="5B28192B"/>
    <w:rsid w:val="5B342BAD"/>
    <w:rsid w:val="5B4007EF"/>
    <w:rsid w:val="5B4D1F7C"/>
    <w:rsid w:val="5B551A1D"/>
    <w:rsid w:val="5B66707B"/>
    <w:rsid w:val="5B673066"/>
    <w:rsid w:val="5B6A48A8"/>
    <w:rsid w:val="5B731FA9"/>
    <w:rsid w:val="5B785E83"/>
    <w:rsid w:val="5B7C1CD1"/>
    <w:rsid w:val="5B9004A9"/>
    <w:rsid w:val="5B907C6C"/>
    <w:rsid w:val="5B9251EF"/>
    <w:rsid w:val="5BAB5BC4"/>
    <w:rsid w:val="5BB054DF"/>
    <w:rsid w:val="5BB20B74"/>
    <w:rsid w:val="5BC677D8"/>
    <w:rsid w:val="5BEB0120"/>
    <w:rsid w:val="5BEC175C"/>
    <w:rsid w:val="5C097C4E"/>
    <w:rsid w:val="5C1A3A93"/>
    <w:rsid w:val="5C235386"/>
    <w:rsid w:val="5C2E555F"/>
    <w:rsid w:val="5C3B6CFC"/>
    <w:rsid w:val="5C436B74"/>
    <w:rsid w:val="5C4C2CF4"/>
    <w:rsid w:val="5C615117"/>
    <w:rsid w:val="5C6B1600"/>
    <w:rsid w:val="5C7D70D1"/>
    <w:rsid w:val="5C824577"/>
    <w:rsid w:val="5C8542A8"/>
    <w:rsid w:val="5CA6294E"/>
    <w:rsid w:val="5CDB3358"/>
    <w:rsid w:val="5CE033FF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4806B6"/>
    <w:rsid w:val="5D5B7098"/>
    <w:rsid w:val="5D634782"/>
    <w:rsid w:val="5D654194"/>
    <w:rsid w:val="5D6B2B6F"/>
    <w:rsid w:val="5D6E1B86"/>
    <w:rsid w:val="5D725A84"/>
    <w:rsid w:val="5D8A2CFF"/>
    <w:rsid w:val="5D960EE9"/>
    <w:rsid w:val="5D9A0CFA"/>
    <w:rsid w:val="5D9B296A"/>
    <w:rsid w:val="5DA53D05"/>
    <w:rsid w:val="5DD14397"/>
    <w:rsid w:val="5DD3123F"/>
    <w:rsid w:val="5DD45E00"/>
    <w:rsid w:val="5DD71C7A"/>
    <w:rsid w:val="5DD734EC"/>
    <w:rsid w:val="5DDA4F5F"/>
    <w:rsid w:val="5DEC05A1"/>
    <w:rsid w:val="5DEE0433"/>
    <w:rsid w:val="5DF007E7"/>
    <w:rsid w:val="5DFD51DB"/>
    <w:rsid w:val="5E0071D0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A3D37"/>
    <w:rsid w:val="5ED74802"/>
    <w:rsid w:val="5EE153F8"/>
    <w:rsid w:val="5EED7893"/>
    <w:rsid w:val="5EFB2125"/>
    <w:rsid w:val="5EFB6F0A"/>
    <w:rsid w:val="5F0A3A61"/>
    <w:rsid w:val="5F3370DF"/>
    <w:rsid w:val="5F491124"/>
    <w:rsid w:val="5F683B6E"/>
    <w:rsid w:val="5F7D5B44"/>
    <w:rsid w:val="5F875C0C"/>
    <w:rsid w:val="5F8F0B9E"/>
    <w:rsid w:val="5F8F267A"/>
    <w:rsid w:val="5FAA5E0A"/>
    <w:rsid w:val="5FB7185B"/>
    <w:rsid w:val="5FB83A9C"/>
    <w:rsid w:val="5FB83AA6"/>
    <w:rsid w:val="5FB94C48"/>
    <w:rsid w:val="5FC9714B"/>
    <w:rsid w:val="5FD74F41"/>
    <w:rsid w:val="5FDE327E"/>
    <w:rsid w:val="5FED6F65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1614B"/>
    <w:rsid w:val="605214E2"/>
    <w:rsid w:val="605429B8"/>
    <w:rsid w:val="606711B4"/>
    <w:rsid w:val="60673C40"/>
    <w:rsid w:val="606A52D4"/>
    <w:rsid w:val="607C3753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315D5E"/>
    <w:rsid w:val="61421EFD"/>
    <w:rsid w:val="615C5041"/>
    <w:rsid w:val="617A6EE7"/>
    <w:rsid w:val="6182260C"/>
    <w:rsid w:val="618D6AD7"/>
    <w:rsid w:val="619E7CE8"/>
    <w:rsid w:val="61AD68BC"/>
    <w:rsid w:val="61AE3F39"/>
    <w:rsid w:val="61B173D2"/>
    <w:rsid w:val="61D43A2B"/>
    <w:rsid w:val="61E34474"/>
    <w:rsid w:val="61EB5611"/>
    <w:rsid w:val="61FF316E"/>
    <w:rsid w:val="621542CB"/>
    <w:rsid w:val="622A0761"/>
    <w:rsid w:val="624263A2"/>
    <w:rsid w:val="624649E6"/>
    <w:rsid w:val="625272C3"/>
    <w:rsid w:val="626B336E"/>
    <w:rsid w:val="626E0821"/>
    <w:rsid w:val="62715337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27422B"/>
    <w:rsid w:val="6328597C"/>
    <w:rsid w:val="63341CD8"/>
    <w:rsid w:val="633B249F"/>
    <w:rsid w:val="63552D76"/>
    <w:rsid w:val="6359778B"/>
    <w:rsid w:val="635B63E3"/>
    <w:rsid w:val="63710D45"/>
    <w:rsid w:val="63785E35"/>
    <w:rsid w:val="638C3395"/>
    <w:rsid w:val="63B82D87"/>
    <w:rsid w:val="63BA3154"/>
    <w:rsid w:val="63C204B8"/>
    <w:rsid w:val="63CA2E8B"/>
    <w:rsid w:val="63D4153E"/>
    <w:rsid w:val="63DC7755"/>
    <w:rsid w:val="63E43D21"/>
    <w:rsid w:val="63F47D2A"/>
    <w:rsid w:val="63FE2D33"/>
    <w:rsid w:val="64046427"/>
    <w:rsid w:val="640F1891"/>
    <w:rsid w:val="642265C6"/>
    <w:rsid w:val="64264A79"/>
    <w:rsid w:val="64304E58"/>
    <w:rsid w:val="64311867"/>
    <w:rsid w:val="64391ED3"/>
    <w:rsid w:val="6445632E"/>
    <w:rsid w:val="64501C8A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FE700F"/>
    <w:rsid w:val="6500327F"/>
    <w:rsid w:val="6506609B"/>
    <w:rsid w:val="65083216"/>
    <w:rsid w:val="65460728"/>
    <w:rsid w:val="65822810"/>
    <w:rsid w:val="65870C45"/>
    <w:rsid w:val="65917ADB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7091E"/>
    <w:rsid w:val="65FF0498"/>
    <w:rsid w:val="66052F43"/>
    <w:rsid w:val="6609487E"/>
    <w:rsid w:val="661D25CE"/>
    <w:rsid w:val="66206CF2"/>
    <w:rsid w:val="66265846"/>
    <w:rsid w:val="66287C9C"/>
    <w:rsid w:val="662E4097"/>
    <w:rsid w:val="664805B8"/>
    <w:rsid w:val="664855CF"/>
    <w:rsid w:val="665572E9"/>
    <w:rsid w:val="665B55EA"/>
    <w:rsid w:val="66641D58"/>
    <w:rsid w:val="66655F85"/>
    <w:rsid w:val="667A3064"/>
    <w:rsid w:val="667C7AEC"/>
    <w:rsid w:val="66863A0F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C6D27"/>
    <w:rsid w:val="670D67CE"/>
    <w:rsid w:val="67105BAB"/>
    <w:rsid w:val="671B1631"/>
    <w:rsid w:val="67302DC3"/>
    <w:rsid w:val="674213F6"/>
    <w:rsid w:val="674318B2"/>
    <w:rsid w:val="674D4B22"/>
    <w:rsid w:val="67570422"/>
    <w:rsid w:val="675D31B4"/>
    <w:rsid w:val="67646948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D7447D"/>
    <w:rsid w:val="67F45538"/>
    <w:rsid w:val="680239EB"/>
    <w:rsid w:val="680722DA"/>
    <w:rsid w:val="682211D1"/>
    <w:rsid w:val="6836510C"/>
    <w:rsid w:val="685C6395"/>
    <w:rsid w:val="686318DD"/>
    <w:rsid w:val="68635145"/>
    <w:rsid w:val="687F607E"/>
    <w:rsid w:val="689A41FB"/>
    <w:rsid w:val="689E57F0"/>
    <w:rsid w:val="68A34C5C"/>
    <w:rsid w:val="68B85B1E"/>
    <w:rsid w:val="68DE5654"/>
    <w:rsid w:val="68E24981"/>
    <w:rsid w:val="69123F86"/>
    <w:rsid w:val="691C1D81"/>
    <w:rsid w:val="691C3525"/>
    <w:rsid w:val="69216128"/>
    <w:rsid w:val="69280874"/>
    <w:rsid w:val="695D6B21"/>
    <w:rsid w:val="69611EE7"/>
    <w:rsid w:val="696C708E"/>
    <w:rsid w:val="696F4D5D"/>
    <w:rsid w:val="69850877"/>
    <w:rsid w:val="698C13C5"/>
    <w:rsid w:val="69BA3522"/>
    <w:rsid w:val="69F0745A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C357E"/>
    <w:rsid w:val="6A711183"/>
    <w:rsid w:val="6A750D82"/>
    <w:rsid w:val="6A7B4B9C"/>
    <w:rsid w:val="6A7F585E"/>
    <w:rsid w:val="6AAF014C"/>
    <w:rsid w:val="6AC07690"/>
    <w:rsid w:val="6ACB082B"/>
    <w:rsid w:val="6AD3247E"/>
    <w:rsid w:val="6AE4699C"/>
    <w:rsid w:val="6AF317C6"/>
    <w:rsid w:val="6B09696B"/>
    <w:rsid w:val="6B1A1EA3"/>
    <w:rsid w:val="6B2B0EFD"/>
    <w:rsid w:val="6B2C13E4"/>
    <w:rsid w:val="6B2D2EEB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E727F5"/>
    <w:rsid w:val="6BEC7AFC"/>
    <w:rsid w:val="6C0858B3"/>
    <w:rsid w:val="6C240DF3"/>
    <w:rsid w:val="6C313672"/>
    <w:rsid w:val="6C3E2FAF"/>
    <w:rsid w:val="6C45610F"/>
    <w:rsid w:val="6C59472D"/>
    <w:rsid w:val="6C5A4564"/>
    <w:rsid w:val="6C603744"/>
    <w:rsid w:val="6C637CCF"/>
    <w:rsid w:val="6C7802EB"/>
    <w:rsid w:val="6C89456C"/>
    <w:rsid w:val="6CA20D5B"/>
    <w:rsid w:val="6CB71894"/>
    <w:rsid w:val="6CB84C54"/>
    <w:rsid w:val="6CD63FB3"/>
    <w:rsid w:val="6CFD5D1F"/>
    <w:rsid w:val="6CFE035F"/>
    <w:rsid w:val="6D056EA6"/>
    <w:rsid w:val="6D125FB4"/>
    <w:rsid w:val="6D1766A9"/>
    <w:rsid w:val="6D221E52"/>
    <w:rsid w:val="6D227835"/>
    <w:rsid w:val="6D2834C8"/>
    <w:rsid w:val="6D2F1F0B"/>
    <w:rsid w:val="6D3C6626"/>
    <w:rsid w:val="6D5D0DB5"/>
    <w:rsid w:val="6D6855B1"/>
    <w:rsid w:val="6D7B4AB7"/>
    <w:rsid w:val="6D836C02"/>
    <w:rsid w:val="6D89784B"/>
    <w:rsid w:val="6D9057BE"/>
    <w:rsid w:val="6D9E0566"/>
    <w:rsid w:val="6DBE7F27"/>
    <w:rsid w:val="6DCD0146"/>
    <w:rsid w:val="6DD05277"/>
    <w:rsid w:val="6DF43BD4"/>
    <w:rsid w:val="6E0E1FAB"/>
    <w:rsid w:val="6E2143FB"/>
    <w:rsid w:val="6E2E6AC8"/>
    <w:rsid w:val="6E317378"/>
    <w:rsid w:val="6E3C2F4C"/>
    <w:rsid w:val="6E3E5591"/>
    <w:rsid w:val="6E4215C6"/>
    <w:rsid w:val="6E4B0158"/>
    <w:rsid w:val="6E4D611F"/>
    <w:rsid w:val="6E567C9E"/>
    <w:rsid w:val="6E581685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90B16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C284A"/>
    <w:rsid w:val="6F0D382C"/>
    <w:rsid w:val="6F163090"/>
    <w:rsid w:val="6F2632E8"/>
    <w:rsid w:val="6F30363A"/>
    <w:rsid w:val="6F3316E5"/>
    <w:rsid w:val="6F3F40F9"/>
    <w:rsid w:val="6F5E0205"/>
    <w:rsid w:val="6F6F14E1"/>
    <w:rsid w:val="6FA629D4"/>
    <w:rsid w:val="6FA75ADB"/>
    <w:rsid w:val="6FB77ED4"/>
    <w:rsid w:val="6FBD4D2F"/>
    <w:rsid w:val="6FBF4710"/>
    <w:rsid w:val="6FC9052A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79015D"/>
    <w:rsid w:val="70822BAD"/>
    <w:rsid w:val="708746BC"/>
    <w:rsid w:val="708F7F54"/>
    <w:rsid w:val="709E3D85"/>
    <w:rsid w:val="70A36A35"/>
    <w:rsid w:val="70AC660B"/>
    <w:rsid w:val="70B17138"/>
    <w:rsid w:val="70BB2EF0"/>
    <w:rsid w:val="70BC2801"/>
    <w:rsid w:val="70C6646C"/>
    <w:rsid w:val="70C72A96"/>
    <w:rsid w:val="70FC2D1E"/>
    <w:rsid w:val="71015D6B"/>
    <w:rsid w:val="71115386"/>
    <w:rsid w:val="71151975"/>
    <w:rsid w:val="71336A65"/>
    <w:rsid w:val="71545B37"/>
    <w:rsid w:val="71570E43"/>
    <w:rsid w:val="71573E01"/>
    <w:rsid w:val="715A268F"/>
    <w:rsid w:val="71702748"/>
    <w:rsid w:val="717C4AD2"/>
    <w:rsid w:val="71867894"/>
    <w:rsid w:val="719F7A78"/>
    <w:rsid w:val="71B623F6"/>
    <w:rsid w:val="71C7540C"/>
    <w:rsid w:val="71F64A63"/>
    <w:rsid w:val="71F870B8"/>
    <w:rsid w:val="72021233"/>
    <w:rsid w:val="720B2A1D"/>
    <w:rsid w:val="72380401"/>
    <w:rsid w:val="72502F9F"/>
    <w:rsid w:val="725817D3"/>
    <w:rsid w:val="726E6AD4"/>
    <w:rsid w:val="727C422C"/>
    <w:rsid w:val="728E71EE"/>
    <w:rsid w:val="7292045A"/>
    <w:rsid w:val="72974DBE"/>
    <w:rsid w:val="72A20C20"/>
    <w:rsid w:val="72AC5E95"/>
    <w:rsid w:val="72AD26CF"/>
    <w:rsid w:val="72C13ED7"/>
    <w:rsid w:val="72CF1AC7"/>
    <w:rsid w:val="72E42AFA"/>
    <w:rsid w:val="72E85578"/>
    <w:rsid w:val="72EB4466"/>
    <w:rsid w:val="72FD426E"/>
    <w:rsid w:val="73043CFC"/>
    <w:rsid w:val="732B736C"/>
    <w:rsid w:val="732C334F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E3CFD"/>
    <w:rsid w:val="73E406FD"/>
    <w:rsid w:val="73E51541"/>
    <w:rsid w:val="73E52294"/>
    <w:rsid w:val="73EC5464"/>
    <w:rsid w:val="73FF2D64"/>
    <w:rsid w:val="74137154"/>
    <w:rsid w:val="74172AD2"/>
    <w:rsid w:val="7421310D"/>
    <w:rsid w:val="74257F79"/>
    <w:rsid w:val="74273820"/>
    <w:rsid w:val="7427471C"/>
    <w:rsid w:val="74355B0B"/>
    <w:rsid w:val="74382479"/>
    <w:rsid w:val="743C7157"/>
    <w:rsid w:val="74416F54"/>
    <w:rsid w:val="744B354F"/>
    <w:rsid w:val="7450294E"/>
    <w:rsid w:val="74543139"/>
    <w:rsid w:val="746B732F"/>
    <w:rsid w:val="746E18CB"/>
    <w:rsid w:val="746F3904"/>
    <w:rsid w:val="748D52FA"/>
    <w:rsid w:val="74993216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202656"/>
    <w:rsid w:val="752231CE"/>
    <w:rsid w:val="75752B04"/>
    <w:rsid w:val="758910BB"/>
    <w:rsid w:val="75955DA9"/>
    <w:rsid w:val="75977910"/>
    <w:rsid w:val="75985DFA"/>
    <w:rsid w:val="759F2A35"/>
    <w:rsid w:val="75AE1D3D"/>
    <w:rsid w:val="75B15C41"/>
    <w:rsid w:val="75CC5191"/>
    <w:rsid w:val="75D12923"/>
    <w:rsid w:val="75EA364B"/>
    <w:rsid w:val="75EC6D49"/>
    <w:rsid w:val="75F20996"/>
    <w:rsid w:val="75F96973"/>
    <w:rsid w:val="76123E1D"/>
    <w:rsid w:val="761270F3"/>
    <w:rsid w:val="762135B2"/>
    <w:rsid w:val="762A17C0"/>
    <w:rsid w:val="762D0A29"/>
    <w:rsid w:val="762E6798"/>
    <w:rsid w:val="76425118"/>
    <w:rsid w:val="764838B9"/>
    <w:rsid w:val="764B15DA"/>
    <w:rsid w:val="764C09B4"/>
    <w:rsid w:val="764F5A52"/>
    <w:rsid w:val="766A4A0D"/>
    <w:rsid w:val="768C454B"/>
    <w:rsid w:val="7692667A"/>
    <w:rsid w:val="76982273"/>
    <w:rsid w:val="769A7352"/>
    <w:rsid w:val="76A177B8"/>
    <w:rsid w:val="76AD2761"/>
    <w:rsid w:val="76B322F2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1B67DF"/>
    <w:rsid w:val="77272CAB"/>
    <w:rsid w:val="77451578"/>
    <w:rsid w:val="77576666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E66E3C"/>
    <w:rsid w:val="77F3789A"/>
    <w:rsid w:val="780326B9"/>
    <w:rsid w:val="780332E5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B4353E"/>
    <w:rsid w:val="79D33056"/>
    <w:rsid w:val="79D715DF"/>
    <w:rsid w:val="79DC713A"/>
    <w:rsid w:val="79EC0256"/>
    <w:rsid w:val="79F60153"/>
    <w:rsid w:val="79FB6E2C"/>
    <w:rsid w:val="7A36322F"/>
    <w:rsid w:val="7A3C2BAA"/>
    <w:rsid w:val="7A3D2527"/>
    <w:rsid w:val="7A4C2D60"/>
    <w:rsid w:val="7A5C4815"/>
    <w:rsid w:val="7A5E0869"/>
    <w:rsid w:val="7A6E4BF5"/>
    <w:rsid w:val="7A721BEA"/>
    <w:rsid w:val="7A7A2665"/>
    <w:rsid w:val="7A851D5D"/>
    <w:rsid w:val="7A8A2267"/>
    <w:rsid w:val="7A9E475D"/>
    <w:rsid w:val="7AB53126"/>
    <w:rsid w:val="7AB7121B"/>
    <w:rsid w:val="7AB76FE8"/>
    <w:rsid w:val="7AD268E2"/>
    <w:rsid w:val="7ADC0B33"/>
    <w:rsid w:val="7AE14C19"/>
    <w:rsid w:val="7AEA174E"/>
    <w:rsid w:val="7B03747C"/>
    <w:rsid w:val="7B274176"/>
    <w:rsid w:val="7B306163"/>
    <w:rsid w:val="7B3E17AA"/>
    <w:rsid w:val="7B401C79"/>
    <w:rsid w:val="7B440ED6"/>
    <w:rsid w:val="7B4678D7"/>
    <w:rsid w:val="7B4B2A93"/>
    <w:rsid w:val="7B527515"/>
    <w:rsid w:val="7B7E38A0"/>
    <w:rsid w:val="7B890A24"/>
    <w:rsid w:val="7B8A4A8A"/>
    <w:rsid w:val="7BA936A0"/>
    <w:rsid w:val="7BAA485C"/>
    <w:rsid w:val="7BAD1591"/>
    <w:rsid w:val="7BCD64C2"/>
    <w:rsid w:val="7BD005E8"/>
    <w:rsid w:val="7BD3716B"/>
    <w:rsid w:val="7BEC2711"/>
    <w:rsid w:val="7BF55850"/>
    <w:rsid w:val="7C1054B7"/>
    <w:rsid w:val="7C26369C"/>
    <w:rsid w:val="7C2A465C"/>
    <w:rsid w:val="7C305879"/>
    <w:rsid w:val="7C34521A"/>
    <w:rsid w:val="7C4A2BD1"/>
    <w:rsid w:val="7C4D3862"/>
    <w:rsid w:val="7C576C70"/>
    <w:rsid w:val="7C6E4349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A3A46"/>
    <w:rsid w:val="7D0F5720"/>
    <w:rsid w:val="7D2E198F"/>
    <w:rsid w:val="7D3807CB"/>
    <w:rsid w:val="7D3B3737"/>
    <w:rsid w:val="7D3D73AF"/>
    <w:rsid w:val="7D5B27C9"/>
    <w:rsid w:val="7D600AB8"/>
    <w:rsid w:val="7D62117D"/>
    <w:rsid w:val="7D6B7F02"/>
    <w:rsid w:val="7D834A16"/>
    <w:rsid w:val="7D9D0A97"/>
    <w:rsid w:val="7D9D438F"/>
    <w:rsid w:val="7DA514D2"/>
    <w:rsid w:val="7DBB5D06"/>
    <w:rsid w:val="7DCD1A27"/>
    <w:rsid w:val="7DCD4EB5"/>
    <w:rsid w:val="7E090313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AA7C26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54566E"/>
    <w:rsid w:val="7F6B2248"/>
    <w:rsid w:val="7F7D7A8E"/>
    <w:rsid w:val="7F872588"/>
    <w:rsid w:val="7F8725BA"/>
    <w:rsid w:val="7F8C6A8F"/>
    <w:rsid w:val="7F966D75"/>
    <w:rsid w:val="7F9C175D"/>
    <w:rsid w:val="7FA85877"/>
    <w:rsid w:val="7FAB3A81"/>
    <w:rsid w:val="7FBE68FB"/>
    <w:rsid w:val="7FCB6843"/>
    <w:rsid w:val="7FDC52B9"/>
    <w:rsid w:val="7FE653BC"/>
    <w:rsid w:val="7FEA5C65"/>
    <w:rsid w:val="7FF60B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5" Type="http://schemas.openxmlformats.org/officeDocument/2006/relationships/fontTable" Target="fontTable.xml"/><Relationship Id="rId34" Type="http://schemas.openxmlformats.org/officeDocument/2006/relationships/customXml" Target="../customXml/item2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19.wmf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" Type="http://schemas.openxmlformats.org/officeDocument/2006/relationships/image" Target="media/image17.wmf"/><Relationship Id="rId28" Type="http://schemas.openxmlformats.org/officeDocument/2006/relationships/image" Target="media/image16.wmf"/><Relationship Id="rId27" Type="http://schemas.openxmlformats.org/officeDocument/2006/relationships/image" Target="media/image15.wmf"/><Relationship Id="rId26" Type="http://schemas.openxmlformats.org/officeDocument/2006/relationships/image" Target="media/image14.wmf"/><Relationship Id="rId25" Type="http://schemas.openxmlformats.org/officeDocument/2006/relationships/image" Target="media/image13.wmf"/><Relationship Id="rId24" Type="http://schemas.openxmlformats.org/officeDocument/2006/relationships/image" Target="media/image12.wmf"/><Relationship Id="rId23" Type="http://schemas.openxmlformats.org/officeDocument/2006/relationships/image" Target="media/image11.wmf"/><Relationship Id="rId22" Type="http://schemas.openxmlformats.org/officeDocument/2006/relationships/image" Target="media/image10.wmf"/><Relationship Id="rId21" Type="http://schemas.openxmlformats.org/officeDocument/2006/relationships/image" Target="media/image9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image" Target="media/image6.wmf"/><Relationship Id="rId17" Type="http://schemas.openxmlformats.org/officeDocument/2006/relationships/image" Target="media/image5.wmf"/><Relationship Id="rId16" Type="http://schemas.openxmlformats.org/officeDocument/2006/relationships/oleObject" Target="embeddings/oleObject3.bin"/><Relationship Id="rId15" Type="http://schemas.openxmlformats.org/officeDocument/2006/relationships/image" Target="media/image4.wmf"/><Relationship Id="rId14" Type="http://schemas.openxmlformats.org/officeDocument/2006/relationships/image" Target="media/image3.wmf"/><Relationship Id="rId13" Type="http://schemas.openxmlformats.org/officeDocument/2006/relationships/image" Target="media/image2.wmf"/><Relationship Id="rId12" Type="http://schemas.openxmlformats.org/officeDocument/2006/relationships/oleObject" Target="embeddings/oleObject2.bin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7</TotalTime>
  <ScaleCrop>false</ScaleCrop>
  <LinksUpToDate>false</LinksUpToDate>
  <CharactersWithSpaces>7127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ZTE(Liu Wenhao)</cp:lastModifiedBy>
  <dcterms:modified xsi:type="dcterms:W3CDTF">2023-04-10T07:45:51Z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